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ind w:firstLine="640" w:firstLineChars="200"/>
        <w:rPr>
          <w:rFonts w:ascii="Times New Roman" w:eastAsia="宋体"/>
          <w:color w:val="auto"/>
        </w:rPr>
      </w:pPr>
    </w:p>
    <w:p>
      <w:pPr>
        <w:ind w:firstLine="640" w:firstLineChars="200"/>
        <w:rPr>
          <w:color w:val="auto"/>
          <w:sz w:val="32"/>
        </w:rPr>
      </w:pPr>
    </w:p>
    <w:p>
      <w:pPr>
        <w:ind w:firstLine="640" w:firstLineChars="200"/>
        <w:rPr>
          <w:color w:val="auto"/>
          <w:sz w:val="32"/>
        </w:rPr>
      </w:pPr>
    </w:p>
    <w:p>
      <w:pPr>
        <w:ind w:firstLine="640" w:firstLineChars="200"/>
        <w:rPr>
          <w:color w:val="auto"/>
          <w:sz w:val="32"/>
        </w:rPr>
      </w:pPr>
    </w:p>
    <w:p>
      <w:pPr>
        <w:ind w:firstLine="640" w:firstLineChars="200"/>
        <w:rPr>
          <w:color w:val="auto"/>
          <w:sz w:val="32"/>
        </w:rPr>
      </w:pPr>
    </w:p>
    <w:p>
      <w:pPr>
        <w:ind w:firstLine="640" w:firstLineChars="200"/>
        <w:rPr>
          <w:color w:val="auto"/>
          <w:sz w:val="32"/>
        </w:rPr>
      </w:pPr>
    </w:p>
    <w:p>
      <w:pPr>
        <w:ind w:firstLine="420" w:firstLineChars="200"/>
        <w:rPr>
          <w:color w:val="auto"/>
          <w:szCs w:val="21"/>
        </w:rPr>
      </w:pPr>
    </w:p>
    <w:p>
      <w:pPr>
        <w:pStyle w:val="3"/>
        <w:spacing w:line="0" w:lineRule="atLeast"/>
        <w:jc w:val="center"/>
        <w:rPr>
          <w:rFonts w:ascii="方正小标宋简体" w:hAnsi="方正小标宋简体" w:eastAsia="方正小标宋简体" w:cs="方正小标宋简体"/>
          <w:color w:val="auto"/>
          <w:sz w:val="44"/>
          <w:szCs w:val="44"/>
        </w:rPr>
      </w:pPr>
      <w:r>
        <w:rPr>
          <w:rFonts w:hint="eastAsia" w:eastAsia="仿宋_GB2312"/>
          <w:color w:val="auto"/>
          <w:sz w:val="32"/>
        </w:rPr>
        <w:t>第3期</w:t>
      </w:r>
    </w:p>
    <w:p>
      <w:pPr>
        <w:spacing w:line="560" w:lineRule="exact"/>
        <w:jc w:val="center"/>
        <w:rPr>
          <w:rFonts w:ascii="方正小标宋简体" w:hAnsi="方正小标宋简体" w:eastAsia="方正小标宋简体" w:cs="方正小标宋简体"/>
          <w:color w:val="auto"/>
          <w:spacing w:val="-8"/>
          <w:sz w:val="44"/>
          <w:szCs w:val="44"/>
        </w:rPr>
      </w:pPr>
    </w:p>
    <w:p>
      <w:pPr>
        <w:spacing w:line="560" w:lineRule="exact"/>
        <w:jc w:val="center"/>
        <w:rPr>
          <w:rFonts w:ascii="方正小标宋简体" w:hAnsi="方正小标宋简体" w:eastAsia="方正小标宋简体" w:cs="方正小标宋简体"/>
          <w:color w:val="auto"/>
          <w:spacing w:val="-8"/>
          <w:sz w:val="44"/>
          <w:szCs w:val="44"/>
        </w:rPr>
      </w:pPr>
    </w:p>
    <w:p>
      <w:pPr>
        <w:spacing w:line="560" w:lineRule="exact"/>
        <w:jc w:val="center"/>
        <w:rPr>
          <w:rFonts w:ascii="方正小标宋简体" w:hAnsi="方正小标宋简体" w:eastAsia="方正小标宋简体" w:cs="方正小标宋简体"/>
          <w:color w:val="auto"/>
          <w:spacing w:val="-8"/>
          <w:sz w:val="44"/>
          <w:szCs w:val="44"/>
        </w:rPr>
      </w:pPr>
      <w:r>
        <w:rPr>
          <w:rFonts w:hint="eastAsia" w:ascii="方正小标宋简体" w:hAnsi="方正小标宋简体" w:eastAsia="方正小标宋简体" w:cs="方正小标宋简体"/>
          <w:color w:val="auto"/>
          <w:spacing w:val="-8"/>
          <w:sz w:val="44"/>
          <w:szCs w:val="44"/>
        </w:rPr>
        <w:t>党委书记杨公鼎</w:t>
      </w:r>
    </w:p>
    <w:p>
      <w:pPr>
        <w:spacing w:line="560" w:lineRule="exact"/>
        <w:jc w:val="center"/>
        <w:rPr>
          <w:rFonts w:hAnsi="方正小标宋简体" w:eastAsia="方正小标宋简体" w:cs="方正小标宋简体"/>
          <w:color w:val="auto"/>
          <w:spacing w:val="-8"/>
          <w:sz w:val="44"/>
          <w:szCs w:val="44"/>
        </w:rPr>
      </w:pPr>
      <w:r>
        <w:rPr>
          <w:rFonts w:hint="eastAsia" w:ascii="方正小标宋简体" w:hAnsi="方正小标宋简体" w:eastAsia="方正小标宋简体" w:cs="方正小标宋简体"/>
          <w:color w:val="auto"/>
          <w:spacing w:val="-8"/>
          <w:sz w:val="44"/>
          <w:szCs w:val="44"/>
        </w:rPr>
        <w:t>在2018年暑假干部培训会上的讲话</w:t>
      </w:r>
    </w:p>
    <w:p>
      <w:pPr>
        <w:spacing w:line="560" w:lineRule="exact"/>
        <w:jc w:val="center"/>
        <w:rPr>
          <w:rFonts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（2018年8月30日）</w:t>
      </w:r>
    </w:p>
    <w:p>
      <w:pPr>
        <w:spacing w:line="560" w:lineRule="exact"/>
        <w:jc w:val="center"/>
        <w:rPr>
          <w:rFonts w:ascii="楷体_GB2312" w:eastAsia="楷体_GB2312"/>
          <w:color w:val="auto"/>
          <w:sz w:val="32"/>
          <w:szCs w:val="32"/>
        </w:rPr>
      </w:pPr>
    </w:p>
    <w:p>
      <w:pPr>
        <w:overflowPunct w:val="0"/>
        <w:spacing w:line="600" w:lineRule="exact"/>
        <w:ind w:right="210"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天，我们在这里召开中层干部会。会议的主要任务是，认真学习贯彻习近平新时代中国特色社会主义思想特别是教育思想，总结上半年工作，交流各部门工作思路与经验，研讨、部署下半年任务，进一步推进一流教育学院建设。这次会议的形式和以往有所区别，目的是进一步的统一思想、凝聚共识、提高站位，提升学院中层干部创新发展能力水平，为做好下一个阶段工作奠定基础。</w:t>
      </w:r>
    </w:p>
    <w:p>
      <w:pPr>
        <w:spacing w:line="600" w:lineRule="exact"/>
        <w:ind w:right="210" w:firstLine="6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下面，我主要就上半年工作开展情况、学院目前存在的问题、当前教育发展面临的形势和下一阶段的工作要求谈四点意见。</w:t>
      </w:r>
    </w:p>
    <w:p>
      <w:pPr>
        <w:spacing w:line="600" w:lineRule="exact"/>
        <w:ind w:right="210" w:firstLine="660"/>
        <w:rPr>
          <w:rFonts w:ascii="黑体" w:hAnsi="黑体" w:eastAsia="黑体" w:cs="黑体"/>
          <w:color w:val="auto"/>
          <w:sz w:val="32"/>
          <w:szCs w:val="32"/>
        </w:rPr>
      </w:pPr>
      <w:r>
        <w:rPr>
          <w:rFonts w:hint="eastAsia" w:ascii="黑体" w:hAnsi="黑体" w:eastAsia="黑体" w:cs="黑体"/>
          <w:color w:val="auto"/>
          <w:sz w:val="32"/>
          <w:szCs w:val="32"/>
        </w:rPr>
        <w:t>一、上半年工作开展情况</w:t>
      </w:r>
    </w:p>
    <w:p>
      <w:pPr>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年上半年，全院教职工团结拼搏、锐意进取、共同奋斗，学院各项工作按照第三次党员代表大会提出的发展方向以及2018年党政工作要点稳步推进，取得了良好成效。回顾这半年来，我们主要开展了五方面工作：</w:t>
      </w:r>
    </w:p>
    <w:p>
      <w:pPr>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（一）以召开全面从严治党工作会为标志，推动全面从严治党向纵深发展。</w:t>
      </w:r>
    </w:p>
    <w:p>
      <w:pPr>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全面从严治党工作会传达了习近平总书记重要讲话精神，十九届中纪委二次全会、市纪委十二届三次全会、教育部和市委教育工委会议精神，研究部署了学院全面从严治党和党风廉政建设工作。同时，学院党委印发了《2018年全面从严治党、党风廉政建设和反腐败工作要点及主要任务分工》，明确了建立健全全面从严治党、党风廉政建设责任体系，加强作风建设，强化纪律建设，营造学院风清气正的教育环境。</w:t>
      </w:r>
    </w:p>
    <w:p>
      <w:pPr>
        <w:spacing w:line="600" w:lineRule="exact"/>
        <w:ind w:right="210" w:firstLine="640" w:firstLineChars="200"/>
        <w:rPr>
          <w:rFonts w:ascii="仿宋" w:hAnsi="仿宋" w:eastAsia="仿宋"/>
          <w:color w:val="auto"/>
          <w:sz w:val="32"/>
          <w:szCs w:val="32"/>
        </w:rPr>
      </w:pPr>
      <w:r>
        <w:rPr>
          <w:rFonts w:hint="eastAsia" w:ascii="仿宋_GB2312" w:hAnsi="仿宋_GB2312" w:eastAsia="仿宋_GB2312" w:cs="仿宋_GB2312"/>
          <w:color w:val="auto"/>
          <w:sz w:val="32"/>
          <w:szCs w:val="32"/>
        </w:rPr>
        <w:t>作为落实全面从严治党的具体措施，在加强党的政治建设方面，切实发挥党委的领导核心作用，承担起管党治党、办学治校主体责任。严格党内政治生活，组织开好各级民主生活会和组织生活会，开展积极健康的批评和自我批评，对问题进行专项整治整改；在加强思想建设方面，组织党委理论中心组专题集中学习6次，深入学习贯彻上级有关会议精神；举办深入学习贯彻习近平新时代中国特色社会主义思想和党的十九大精神专题培训班、“学习红旗渠精神 牢记使命 勇于担当”处级以上干部党性教育培训班，并就中办印发的《关于进一步激励广大干部新时代新担当新作为》开展研讨交流；组织党员赴西柏坡开展“不忘初心 牢记使命”党员教育培训活动，向全院党员发放《习近平总书记重要讲话文章选编》《十九大党章修正案学习问答》等书籍；召开纪念中国共产党成立97周年暨表彰大会，对2016—2018年度优秀共产党员、优秀党务工作者、先进党支部进行了表彰。</w:t>
      </w:r>
    </w:p>
    <w:p>
      <w:pPr>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落实全面从严治党主体责任方面，出台《北京教育学院党委领导下的院长负责制实施办法》，落实“三重一大”事项的决策制度；逐级签订了2018年党风廉政建设责任书，建立特约纪检监察员制度并聘任了13位特约纪检监察员，扎实推进学院廉政风险防控“三个体系”建设工作；落实党风廉政建设主体责任记实制度，做到责任清单明确化，履责情况痕迹化，记责情况台帐化；开展党总支书记、党支部书记抓党建述职评议考核，召开党支部规范化建设工作会议，制定规范党支部“三会一课”制度的实施意见、党员发展工作程序等文件，推进党支部的规范化建设；落实市委对学院2017年党风廉政建设责任制检查考核反馈意见和市委教育工委对学院党建和思想政治工作基本标准达标检查反馈意见的整改工作，制定了整改方案，细化了整改措施。</w:t>
      </w:r>
    </w:p>
    <w:p>
      <w:pPr>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在加强纪律教育方面，对新任处级干部进行了廉政集体谈话，组织全体处级及以上干部赴北京市反腐倡廉警示教育基地参观学习，开展培训提升专兼职纪检监察干部执纪监督水平。</w:t>
      </w:r>
    </w:p>
    <w:p>
      <w:pPr>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（二）以做新时代‘四有’好老师和‘四个引路人’学习实践活动为抓手，进一步强化师德建设。</w:t>
      </w:r>
    </w:p>
    <w:p>
      <w:pPr>
        <w:spacing w:line="600" w:lineRule="exact"/>
        <w:ind w:right="2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为深入学习贯彻习近平新时代中国特色社会主义思想和党的十九大精神，深入学习贯彻习近平总书记在北京大学师生座谈会上的重要讲话精神，学院党委启动了2018年做新时代‘四有’好老师和 ‘四个引路人’学习实践活动，印发了活动的实施办法，旨在通过开展学习实践活动，使全院广大教师把教书育人和自我修养结合起来，做到以德立身、以德立学、以德施教。</w:t>
      </w:r>
    </w:p>
    <w:p>
      <w:pPr>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在学习实践活动中，学院举办了以“不忘初心 砥砺前行”为主题的“学习贯彻习近平总书记北大讲话精神，讲好我与北京教育学院的故事”主题交流活动；在各分党委（党总支）评选推荐的基础上，学院评选出了14名院级师德榜样，其中教育管理与心理学院杨雪梅教授荣获2018年“北京市师德先锋”荣誉称号；各分党委（党总支）、党支部均组织开展了各种形式的读、讲、评活动，有的制定了本党总支的学习实践活动实施方案，有的进行了革命传统、师德主题教育，有的开展了主题党日活动，引导教职工坚定理想信念，解决好世界观、人生观、价值观“总开关”问题，自觉把党的教育方针贯彻到教学科研管理工作全过程。</w:t>
      </w:r>
    </w:p>
    <w:p>
      <w:pPr>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（三）以“3+1+N”人才培养体系为基础，有序推进教育教学不断创新。</w:t>
      </w:r>
    </w:p>
    <w:p>
      <w:pPr>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半年，我院围绕“3+1+N”人才培养体系有序推进各类干部教师培训项目的开展。“启航计划”项目与顺义、昌平、大兴、怀柔四区合作开展的新教师培训顺利结业，参训学员1281人，共计36个班级；成功举办北京市中小学新任教师第二届“启航杯”教学风采展示活动，来自16区及燕山的610名选手参加了展示。“青蓝计划”项目选拔中小学一线优秀青年人才193人开展培训，共计13个班级。以特级教师、市级学科带头人或优秀市级骨干教师为培养对象的“卓越计划”工作室持续开展，目前共有18个卓越教师工作室，参与教师达103人；承担教育部和北京市“三名工程”，共计培养校长、园长、教师79名。“协同创新学校计划”进入本轮培训的最后一年，共有88个项目主题，参与学校131所，参训学员共计2675人，评选出第一批“协同创新学校计划”示范项目校26所。组织各类特色专题培训班165个，参训学员6633人。承担中小学一线优秀教师和教研员研修项目、专职培训团队研修项目、骨干班主任教师培训项目等“国培计划”示范性项目、合作培训项目，共8个学科11个班，参训学员共计671人。大力支持北京副中心建设，实施“支持通州教师发展专项计划”，开展“支持通州区名校长、名园长、名师工作室”项目，共有18个名校长、名园长工作室，45个名教师工作室，参训人员总计492人。</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半年还完成了以中小学校长（园长）为主的各类干部培训招生434人次，其中启航计划招生79人；青蓝计划招生68人；教育改革专题培训项目10个，招生287人。截至6月底，完成了下半年教师培训招生1945人次，其中青蓝计划共涉及14学科，共计招生331人；专题培训项目43个，共计招生1423人；国培计划涉及教师培训团队高级研修项目、紧缺领域骨干教师培训项目中的8个集中培训项目，共计招生191人。新教师培训招生工作于7月底完成，共有学员1115人、班级35个，目前已完成暑期集中培训。</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京津冀协同发展战略，学院加强了区域合作与交流，推动三地优秀校长教师开展合作研修。今年上半年，三地干部教师教育培训机构在我院召开研讨会，确定了9月即将举办的京津冀校长协同发展研修项目的具体方案。</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开展北京市“十三五”中小学教师培训公共必修课“教师专业标准与教育改革专题”网络课程建设和培训工作，开发完成7门网络课程，依托“京师网”平台，采取“网上学习+网上测试”的方式在石景山、昌平、怀柔三个区共培训学员15987人，覆盖学校193所。</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与房山、大兴、通州、延庆合作开展了教师“二学历”进修的合作办学。目前全院学历教育在校生共计61个教学班，1930人，其中专科22个班，549人，本科35个班，1381人。思想政治教育专业获批为2018年新的招生专业。</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完成了督导室换届工作，建立了由院内退休教师、在职教师及院外专家三部分构成的涵盖18个学科的院级督学队伍。本学期共115人次对45个培训项目进行了督导工作。</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春季教师资格共受理认定9202人。国考面试网报15103人，实考14317人。在密云区如期启动全市教师资格定期注册试点工作。积极落实国务院“一网一门一次”政务服务改革要求，多措并举提高教师资格认定服务水平。</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（四）以学科创新平台建设为重点，持续提升学院科研水平。</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科创新平台建设工作稳步推进。在广泛调研的基础上，精心设计了全院学科布局，并于今年分两批次进行了论证评审，共有“中小学健康教育”“三位一体美育”“教师职后教育创新与发展”等11项学科创新平台立项，其中一级平台立项7项，二级平台立项4项。</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重科研产出效率和水平的提升，全力做好国家、省部级和院级等纵向科研课题申报立项工作。2018年上半年共组织国家级、省部级和院级课题申报117项，目前成功立项34项，包括2项全国教育规划课题、7项北京市教育科学规划课题，市教育科学规划课题立项数量在市属高校中名列第二并首次获得重大课题立项。</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积极推进“房山北沟项目”开展，完成了合作协议签署、项目经费划拨准备、项目手册编制等工作，为项目的全面开展奠定坚实基础。</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院还通过举办大型研讨会，为教育行政部门解决教育人才问题提供决策参考，为学校教师发展提供经验分享，不断扩大我院的学术影响力。今年6月，学院主办的《教师发展研究》创刊一周年暨“教师教育学科建设”研讨会举行，教育部教师工作司王定华司长、北京市新闻出版广电局张苏副局长等领导出席研讨会。西南大学副校长靳玉乐教授等近20位教育领域和学术期刊领域专家莅会并发言，共同探讨高校综合性学报专业化转型及教师发展和教师教育学科建设的方向，取得了重要成果。《教师发展研究》今年被国际知名学术期刊数据库美国EBSCO列为全文收录期刊。</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着办学的进一步开放，学院继续加大国际化培训和交流力度，上半年完成8个因公出国及赴香港团组28人次的出访任务，组织4个赴台团组共42人次出访；接待国（境）外7个代表团，来访人数85人次；协助18位教学科研人员出国参加学术交流和学术会议，协助二级学院及部门聘请来自美国、加拿大等国家以及香港、台湾地区专家来院进行学术交流访问；为加强国际化培训，经论证评审，购买国际课程5门。</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（五）以健全党委与行政议事决策制度为突破，全面提升学院综合治理能力。</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力加强制度建设，不断健全全委会、常委会、院长办公会、专题会等党委与行政议事决策制度，制订了《中国共产党北京教育学院委员会全体会议议事规则》《中国共产党北京教育学院委员会常务委员会议事规则》等一系列制度文件，探索实施党委会和院长办公会议题计划管理和纪要通报。今年上半年学院共召开党委常委会15次，研究议题116个；召开院长办公会11次，研究议题68个；召开专题会10次，研究议题14个，保证了党委、行政的科学决策、民主决策和依法决策。学院还对2013-2017年以学院党委或学院名义发布的85件规范性文件进行了清理，通过清理决定宣布12件规范性文件失效或废止，73件规范性文件继续有效。</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管理岗位职员制改革，完成在职在编管理岗位人员的定级、晋级工作，涉及管理人员共计108人，申报晋级人员共计76人，根据测评分数排序晋级七级职员A共12人，晋级七级职员B共10人，晋级八级职员共23人。选拔12名青年干部和教师担任处长、二级学院院长助理，进一步拓宽人才培养和选人用人渠道。</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大服务保障力度。以签订新一轮物业服务管理合同为契机，成立全院物业考核工作小组，建立监管和沟通的平台。在黄寺校区、中轴路校区全面推进“一点受理，全面服务”的综合服务方式。西郊校区修缮工程顺利进行，持续推进育人环境改善和校区功能布局调整，完成立体车库遗留工程；严格把握政策法规，完成采购招投标工作18项、部门合同审批23项。校园网站改版工作稳步推进，各校区无线网络部署工作基本完成。采取技术手段加强安全管理，确保学院各类培训和大型活动顺利开展，确保全国“两会”等重点保障时期的校园安全和网络安全。</w:t>
      </w:r>
    </w:p>
    <w:p>
      <w:pPr>
        <w:spacing w:line="600" w:lineRule="exact"/>
        <w:ind w:right="210" w:firstLine="660"/>
        <w:rPr>
          <w:rFonts w:ascii="黑体" w:hAnsi="黑体" w:eastAsia="黑体" w:cs="黑体"/>
          <w:color w:val="auto"/>
          <w:sz w:val="32"/>
          <w:szCs w:val="32"/>
        </w:rPr>
      </w:pPr>
      <w:r>
        <w:rPr>
          <w:rFonts w:hint="eastAsia" w:ascii="黑体" w:hAnsi="黑体" w:eastAsia="黑体" w:cs="黑体"/>
          <w:color w:val="auto"/>
          <w:sz w:val="32"/>
          <w:szCs w:val="32"/>
        </w:rPr>
        <w:t>二、学院目前存在的主要问题</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上半年，学院在教育教学科研工作和学院发展建设中取得了一定的成绩，主要特点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是党的领导和党的建设进一步加强，确保了正确的办学方向；二是人才培养体系进一步明确，服务首都基础教育领域进一步拓宽；三是学科建设和科研工作力度明显增强，为提升教育教学质量和人才发展提供了强大助力；四是加强统筹协调，强化督促落实，上半年召开10次专题会，对重点任务（如信息化建设、人事制度改革、学科创新平台、后勤服务、校园建设等）进行专题研究、重点推进，同时加强对年度重点工作的督促检查，确保各项任务顺利推进。</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但我们也要清醒的认识到，与中央和市委的要求相比、与第三次党代会提出的“建设一流教育学院”的目标相比还存在着差距，在高标准满足首都教育综合改革发展需要、满足人民群众对高层次教师和高水平教育的需求方面，还存在许多亟待破解的难题。 </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（一）院内人才队伍建设问题</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先，专业人员不足，管理人员短缺。各二级学院大都反映急需引进专业人才，特别是有实践经验的中小幼一线干部教师和有学术基础的高校教师。同时，随着管理岗位人员的退休，各部门和二级学院都出现了服务管理力量不足的问题。</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其次，管理岗位人员的发展空间受限。管理岗位人员的学习培训机会不多，针对性不强，致使自身视野不够开阔，管理能力和专业水平有待提高。</w:t>
      </w:r>
    </w:p>
    <w:p>
      <w:pPr>
        <w:overflowPunct w:val="0"/>
        <w:spacing w:line="600" w:lineRule="exact"/>
        <w:ind w:right="210" w:firstLine="640" w:firstLineChars="200"/>
        <w:rPr>
          <w:rFonts w:ascii="楷体_GB2312" w:hAnsi="楷体_GB2312" w:eastAsia="楷体_GB2312" w:cs="楷体_GB2312"/>
          <w:color w:val="auto"/>
          <w:sz w:val="32"/>
          <w:szCs w:val="32"/>
        </w:rPr>
      </w:pPr>
      <w:bookmarkStart w:id="0" w:name="_Toc808"/>
      <w:r>
        <w:rPr>
          <w:rFonts w:hint="eastAsia" w:ascii="楷体_GB2312" w:hAnsi="楷体_GB2312" w:eastAsia="楷体_GB2312" w:cs="楷体_GB2312"/>
          <w:color w:val="auto"/>
          <w:sz w:val="32"/>
          <w:szCs w:val="32"/>
        </w:rPr>
        <w:t>（二）工作量分配问题</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任教师工作量认定设定了上限，但一些二级学院、系室实际工作并未减少，且超出上限部分的工作量不计酬，影响了教师工作积极性，也无法满足培训需求。针对这个问题主要是要把教师管理方面的工作量压下来，让他们更多的去做专业，提高业务能力素质。</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个别管理岗位工作量超负荷，或因职责划分不明确造成负担过重，不利于教职工身心健康。这叫苦乐不均，有的岗位就很闲，晚来早走，甚至晃晃悠悠就一天，这个问题也相当严重。</w:t>
      </w:r>
    </w:p>
    <w:bookmarkEnd w:id="0"/>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（三）办公条件问题</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各部门、</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二级学院反映，有的办公空间紧张、工位不足，不同系室混用，工作开展不便；有的办公室潮湿、阴冷，采光、透气性差；有的教室设备老化，实验室条件无法满足教学需要。等西郊校区修缮结束以后房子的情况能够得到改善，下一步要继续对校园环境进行优化调整。</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（四）工作运行机制问题</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作计划性不够，工作的布置、新制度的出台节奏过快，对运行层面考虑不足，致使疲于应付，难以保证质量；各二级部门在购买或者订制软件系统时未与有关职能部门及时充分沟通，不便于以后的整合使用等等。</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这些问题，有的是长期存在的，需要付出努力逐步解决；有的是在学院发展中出现的新问题，需要我们开阔思路、锐意探索；有的则需要同志们在一个阶段内克服困难，做出一定的奉献和牺牲。希望在座的干部针对这些问题要认真研究，积极思考、探讨如何解决这些问题。</w:t>
      </w:r>
    </w:p>
    <w:p>
      <w:pPr>
        <w:spacing w:line="600" w:lineRule="exact"/>
        <w:ind w:right="210" w:firstLine="640" w:firstLineChars="200"/>
        <w:rPr>
          <w:rFonts w:ascii="黑体" w:hAnsi="黑体" w:eastAsia="黑体"/>
          <w:color w:val="auto"/>
          <w:sz w:val="32"/>
          <w:szCs w:val="32"/>
        </w:rPr>
      </w:pPr>
      <w:r>
        <w:rPr>
          <w:rFonts w:hint="eastAsia" w:ascii="黑体" w:hAnsi="黑体" w:eastAsia="黑体"/>
          <w:color w:val="auto"/>
          <w:sz w:val="32"/>
          <w:szCs w:val="32"/>
        </w:rPr>
        <w:t>三、当前教育发展面临的形势</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今年以来，中央、市委按照十九大精神，陆续召开一系列重要会议，下发一系列重要文件，对各方面工作作出部署。下面，简单梳理一下与教育关系比较密切的重要会议和重要文件，向大家做简要通报。</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（一）全国组织工作会议</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月3日至4日全国组织工作会议召开，对今后五年党的建设和组织工作进行部署，习近平总书记发表重要讲话。他强调，中国特色社会主义进入新时代，我们党一定要有新气象新作为，关键是党的建设新的伟大工程要开创新局面。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组织路线对坚持党的领导、加强党的建设、做好党的组织工作具有十分重要的意义。总书记明确指出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习近平总书记在讲话当中，还对加强党的政治建设，强化党的组织体系，建设忠诚干净担当的高素质干部队伍，加快实施人才强国战略，培养选拔高素质专业化年轻干部队伍等工作提出了要求。</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（二）全国宣传思想工作会议</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月21日至22日全国宣传思想工作会议召开，这也是每五年召开一次，对今后我们的宣传思想工作有着重大的作用。习近平在讲话中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旗帜鲜明坚持真理，立场坚定批驳谬误。要压实压紧各级党委（党组）责任，做到任务落实不马虎、阵地管理不懈怠、责任追究不含糊。</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（三）深化教育体制改革和教师队伍建设</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继去年9月中办、国办印发《关于深化教育体制机制改革的意见》，今年2月中共中央、国务院印发《关于全面深化新时代教师队伍建设改革的意见》后，近日，国务院办公厅转发了教育部等部门《教育部直属师范大学师范生公费教育实施办法》（以下简称《办法》）和《关于高等学校加快“双一流”建设的指导意见》（以下简称《意见》）。</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从选拔录取、履约任教、激励措施、条件保障等方面，对师范生公费教育政策进行改进和完善。例如，国家公费师范生享受免缴学费、住宿费和补助生活费政策；通过双向选择等方式切实为每位毕业的公费师范生落实任教学校和岗位；将公费师范生履约服务期由10年调整为6年，恰好能够完成小学或中学完整的教学周期。同时，体现倾斜支持农村地区教师队伍建设，到城镇学校工作的公费师范生，应到农村义务教育学校任教服务至少1年。这是从源头加强教师队伍建设的重要措施。《意见》全面贯彻落实党的教育方针，以中国特色世界一流为核心，以高等教育内涵式发展为主线，落实立德树人根本任务，紧紧抓住坚持办学正确政治方向、建设高素质教师队伍和形成高水平人才培养体系三项基础性工作，以体制机制创新为着力点，全面加强党的领导，调动各种积极因素，在深化改革、服务需求、开放合作中加快发展，努力建成一批中国特色社会主义标杆大学，确保实现“双一流”建设总体方案确定的战略目标。这两个文件的含金量很大，将对教师队伍建设，“双一流”建设具有重大意义。</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（四）统筹推进北京高等教育改革发展</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年6月份，市委、市政府下发了《关于统筹推进北京高等教育改革发展的若干意见》，对进一步深化北京高等教育综合改革，推动北京高等教育内涵式发展、特色发展、差异化发展，提出了改革的任务，主要有：落实立德树人根本任务，巩固人才培养中心地位；改革人事制度，强化教育教学主业；创新育人机制，建设一流培养体系；完善科研政策，构筑科技创新高地；健全管理体制，释放高等学校办学活力等。</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中具体的措施有：聚焦北京城市战略定位，优化高等教育布局结构，结合非首都功能疏解，做到16个区都有高校，完善专业结构，淘汰落后过时专业；加强宏观引导，推动高等学校分类发展，逐一明确市属高校办学定位（高水平研究型大学、高水平特色大学、高水平应用型大学、高水平技能型大学等），在不同层次、不同学科、不同领域办出特色，争创一流；建设一流师资，夯实高等教育发展基础，包括高水平人才引进，教师双向流动，教师专业发展等。</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这份文件同样具有很高的含金量，有的是发展方向指导，有的是政策支持，有的是财政支持，对市属高校发展，具有重要的指导意义。学院也正在通过教工委积极的争取，力争享受人才队伍建设等方面的政策。</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志们，当前的形势发展对学院各项教育培训任务的开展提出了更高的要求。面对培训国际化、高端化、专业化发展的要求，如何应对改革急需，推动学院转型发展？面对激励的市场竞争，如何在学科建设、专业建设、课程建设、资源建设等核心竞争力上形成优势？面对中小学一线校长教师能力水平的日益提升，如何造就学院的知名教师、领军人物？这些都需要大家认真思考。</w:t>
      </w:r>
    </w:p>
    <w:p>
      <w:pPr>
        <w:spacing w:line="600" w:lineRule="exact"/>
        <w:ind w:right="210" w:firstLine="640" w:firstLineChars="200"/>
        <w:rPr>
          <w:rFonts w:ascii="黑体" w:hAnsi="黑体" w:eastAsia="黑体"/>
          <w:color w:val="auto"/>
          <w:sz w:val="32"/>
          <w:szCs w:val="32"/>
        </w:rPr>
      </w:pPr>
      <w:r>
        <w:rPr>
          <w:rFonts w:hint="eastAsia" w:ascii="黑体" w:hAnsi="黑体" w:eastAsia="黑体"/>
          <w:color w:val="auto"/>
          <w:sz w:val="32"/>
          <w:szCs w:val="32"/>
        </w:rPr>
        <w:t>四、下一阶段工作要求</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学期马上就要开始了。年初确定的工作总的要求是：以习近平新时代中国特色社会主义思想为指引，全面贯彻党的十九大精神和北京市第十二次党代会精神，全面落实学院第三次党员代表大会精神和学院“十三五”改革与发展规划年度目标，坚持稳中求进的总基调，加强党委对学院改革发展的全面领导，全力服务首都基础教育改革发展大局，以高质量发展为主题，以学科建设为带动，以人才培养体系建设为重点，以教师队伍建设为根本，以改革创新为动力，以治理能力提升为支撑，推动全面从严治党落到实处，为实现建设一流教育学院的目标开好局、起好步、实现新发展。这个总要求，必须一以贯之地落实到学院工作的各方面和全过程。工作中，要进一步把握好以下几点：</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进入新时代要有新作为。总书记反复强调新时代、新担当、新作为，我们怎么去聚焦新作为？就是要紧扣今后五年党和国家事业发展即将迎来的一系列重要历史节点。今年是改革开放40周年，明年是新中国成立70周年，后年是全面建成小康社会之年，2021年是建党100周年，2022年是党的二十大召开之年，也是北京举办冬奥会冬残奥会之年，可以说今后的五年，年年都是一些重要的历史节点。作为教育学院人，我们要考虑，面对这些重要的历史节点，我们应该为首都教育做点什么，应该为教育学院的发展谋划些什么，应该为党和国家事业发展作出什么样的贡献。生逢这样一个伟大的时代，我感到我们是幸运的，更是担负着历史的责任。我们要围绕建设一流教育学院来谋划、推进我们的各项工作，要推进富有特色的学科体系、人才培养体系，建设高素质的人才队伍，形成学院的现代化治理体系。这五年也是学院第三届党委任期的五年，五年后，我们要向市委市政府交账，向全院教职工交账。我们要瞄着历史节点，围绕建设一流教育学院，一年接着一年干，要有责任感，要有自信，要勇于敢担当，新作为就在其中。</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必须旗帜鲜明讲政治。就是要坚持和加强党的全面领导，牢固树立“四个意识”，坚定“四个自信”，把“四个自信”转化为建设一流教育学院的自信和动力。要深入学习习近平新时代中国特色社会主义思想，特别是教育思想，坚决维护习近平总书记的核心地位，坚决维护党中央权威和集中统一领导，切实把思想和行动高度统一到以习近平同志为核心的党中央决策部署上来。要加强党的建设，聚焦强化政治功能和提升组织力，认真落实基层党建各项任务。要加强思想政治工作，把习近平新时代中国特色社会主义思想融入到教育、教学、科研等全过程。</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要进一步提高站位，开阔视野。建设一流教育学院就是我们的工作站位。这就要求我们，要着眼高等学校的办学规律，以内涵式发展为主线，落实立德树人根本任务，紧紧抓住总书记强调的坚持正确的办学政治方向、建设高素质教师队伍和形成高水平人才培养体系这三项基础性工作，更加注重学科建设，更加注重人才培养体系建设，更加注重教师队伍建设，更加注重国际合作交流，更加注重改革创新。</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要勇于担当作为。当前各项工作任务都很重，压力也大，也面临不少难题。以什么样的精神状态去面对，对处级以上领导干部都是一个现实考验。最重要的是要担当作为，遇事不怕难，敢于啃硬骨头，始终保持爬坡过坎的那股劲，始终保持功成不必在我的境界，始终保持敢闯敢干、善作善成，不服输、不气馁的作风。对看准了的事情，就要敢于担当责任，勇于直面矛盾，坚定有序地干，这才是学院领导干部应有的精气神。</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半年，要按照年初的统一部署，继续统一思想、凝聚共识，推动全面从严治党向纵深发展；进一步真抓实干、开拓进取，充分发挥“3+1+N”人才培养体系作用；继续坚持质量为先、实践导向，保障首都基础教育人才培养健康发展；加强学科引领、强基固本，切实提升学院核心竞争力；坚持以人为本、依法治校，不断提高管理和服务保障水平。年初已经对工作做了具体部署，在这里，我重点强调以下几点工作：</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（一）按照上级要求，开展“不忘初心、牢记使命”主题教育活动。</w:t>
      </w:r>
    </w:p>
    <w:p>
      <w:pPr>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忘初心、牢记使命”主题教育是党的十九大作出的一项重大部署，也是学院必须抓的重大政治任务，在上级还没有布置之前，我们要不等不靠、提前谋划、充分准备。一是利用两级中心组学习、“三会一课”、“主题党日”等活动，及时开展习近平新时代中国特色社会主义思想、习近平教育思想、党的十九大精神、新党章的学习，做到学通弄懂，并用以指导实践；二是引导广大党员干部进一步凝心聚力，立足岗位、敬业奉献，发挥好党员干部的模范带着作用。</w:t>
      </w:r>
    </w:p>
    <w:p>
      <w:pPr>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忘初心、牢记使命”主题教育是党中央在开展群众路线教育实践活动、“三严三实”专题教育、“两学一做”学习教育之后开展的又一次党内教育，这也是它们的深化和延伸，旨在以此来强化全体党员的政治意识、大局意识、核心意识和看齐意识，努力打造一支信念坚定、为民服务、勤政务实、敢于担当、清正廉洁的党员干部队伍。我们领导干部要给予高度重视，认真贯彻落实上级要求，既保质保量又锐意创新地开展好相关教育活动。</w:t>
      </w:r>
    </w:p>
    <w:p>
      <w:pPr>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（二）弘扬师德师风，争做育人表率。</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半年，全市教育系统开展了“做新时代‘四有’好老师和‘四个引路人’”学习实践活动，从幼儿园到大学，本市每一名教师都参加到活动中。市委常委、教工委书记林克庆同志对本次学习实践活动提出要求：要准确把握新时代全面深化师德师风建设改革的新形势和新任务，认真学习领会习近平总书记对教育工作的系列重要讲话精神，全面贯彻落实党和国家就全面深化教师队伍建设改革做出的重要部署。要着力提升教师的思想政治素质，全面加强师德师风建设，建立健全多方参与的师德监督体系，健全师德考核评价体系，有效防止师德失范行为。要坚持党管干部、党管人才的原则，牢牢把握教师队伍建设的正确方向，全面加强基层党组织建设，充分发挥党员教师的先锋模范作用，让党员教师的党性修养、专业素养和师德师风同步提高，让党性为师德铸魂。</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们要在上半年开展学习实践活动的基础上，对照克庆同志的要求，边学习实践，边总结反思，在下半年继续抓好这项工作。要继续深入学习，特别是学习贯彻习近平总书记在北京大学师生座谈会上的重要讲话精神；在面向中小学教师的培训中，设计实施符合本学段发展需求的职业理想、职业道德、法治和心理健康教育培训主题；在全院开展2018年学院师德榜样表彰及事迹宣讲活动，充分发挥师德榜样的示范引领作用；各分党委（党总支）也要通过多种形式，组织教师讲好自己的师德故事；切实加强师德考核，结合学习落实教育部制发的新时代教师职业行为规范、列出的负面清单和修订的师德标准，制定师德考核办法，加强师德的过程性考核，与教师的年度考核、绩效考核有机结合，并在教师职务（职称）评审、岗位聘用、评优奖励等环节实行一票否决；开展师德建设情况的督导工作，各分党委（党总支）要进一步落实师德建设长效机制情况专项自查自评。</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（三）狠抓中心工作，提高培训质量。</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目前，学院的“3+1+N” 人才培养体系已初步构建并日益完善，专业建设和课程建设初见成效，培训工作受到市教委、区教委、学员的广泛认可。但我们必须树立危机意识，保持紧迫感，以提高培训质量为重点，对工作进行改革和优化，担当起教师培训的重任。</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方面要加强党对培训工作的领导，谋划好、组织好各级各类培训项目，把好课堂教育教学的意识形态关。上周开始的新一期“启航计划”培训中，为促进学员自我教育、管理、服务和专业发展，学院党委探索开展了学员临时党支部建设工作，以班级为单位共成立临时党支部33个，同时配强临时党支部书记、副书记、委员。教务处、组织部和各二级学院党总支共同努力，于8月中旬完成了学员党员信息汇总、临时党支部建设指导方案起草、《党支部工作手册》和《学生党支部工作规范》配备等工作。加强学员党支部建设与管理，这是一个有益的尝试，是组织部、教务处、特别是各二级学院党总支的重要职责，要把抓学员党支部建设和管理融入到学员专业中去。这一经验可以在条件成熟的其他培训项目中进一步推广。</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另一方面要加强教学工作的组织管理，在实践中总结经验，不断完善“3+1+N”人才培养体系。要进一步提升专业、课程、教材建设水平，加大教学督导力度，增强学院教师的能力素质，完善教学科研的绩效管理，优化办学环境，保障培训工作顺利进行。</w:t>
      </w:r>
    </w:p>
    <w:p>
      <w:pPr>
        <w:overflowPunct w:val="0"/>
        <w:spacing w:line="600" w:lineRule="exact"/>
        <w:ind w:right="210"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（四）纪念改革开放40周年暨建院65周年，开展好系列活动。</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今年是改革开放40周年，也是学院建院65周年。要引领教职工传承开拓创新的精神，加强文化建设，不断增强学院服务首都基础教育的能力，结合年初工作计划，有序开展好系列纪念活动和学术活动。</w:t>
      </w:r>
    </w:p>
    <w:p>
      <w:pPr>
        <w:overflowPunct w:val="0"/>
        <w:spacing w:line="600" w:lineRule="exact"/>
        <w:ind w:right="2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搭建学术平台，举办主题为“迈向新时代的教师培训与教师专业发展”的基础教育教师发展20人论坛、首届“教师学习与专业发展”国际研讨会等系列学术活动，扩大学院的学术影响力和社会影响力；二是弘扬脚踏实地、追求卓越的学院文化，成立学院校友会，召开学院发展回顾与展望暨我与教育学院共成长座谈会；三是丰富纪念形式，举办文艺汇演、摄影作品征集展示等多种文体活动；四是进一步优化办学条件，开展各校区环境整治促提升行动，优化信息化环境，改善教职工办公条件，进一步增强广大教职工的归属感、幸福感。</w:t>
      </w:r>
    </w:p>
    <w:p>
      <w:pPr>
        <w:spacing w:line="600" w:lineRule="exact"/>
        <w:ind w:right="21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半年各项工作任务十分繁重，各部门、各二级学院和党员干部必须以钉钉子精神抓好工作落实。部署了的工作就要一抓到底，就要钉是钉铆是铆地逐项落实。党员领导干部要带头履职尽责，带头勇于担当，带头攻坚克难，一级带着一级干，一级做给一级看。要保持良好的精神状态，把心思集中在想事上，把本领体现在干事上，把目标锁定在成事上，进一步推动形成全院上下凝心聚力抓改革发展的良好局面，努力创造一流的工作业绩，为实现建设一流教育学院新目标不懈奋斗！</w:t>
      </w: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600" w:lineRule="exact"/>
        <w:ind w:right="210" w:firstLine="640" w:firstLineChars="200"/>
        <w:rPr>
          <w:rFonts w:hint="eastAsia" w:ascii="仿宋_GB2312" w:hAnsi="仿宋_GB2312" w:eastAsia="仿宋_GB2312" w:cs="仿宋_GB2312"/>
          <w:color w:val="auto"/>
          <w:sz w:val="32"/>
          <w:szCs w:val="32"/>
        </w:rPr>
      </w:pPr>
    </w:p>
    <w:p>
      <w:pPr>
        <w:spacing w:line="280" w:lineRule="exact"/>
        <w:ind w:firstLine="140" w:firstLineChars="50"/>
        <w:rPr>
          <w:rFonts w:eastAsia="仿宋_GB2312"/>
          <w:color w:val="auto"/>
          <w:sz w:val="28"/>
        </w:rPr>
      </w:pPr>
      <w:r>
        <w:rPr>
          <w:rFonts w:eastAsia="仿宋_GB2312"/>
          <w:color w:val="auto"/>
          <w:sz w:val="28"/>
        </w:rPr>
        <w:pict>
          <v:line id="_x0000_s1028" o:spid="_x0000_s1028" o:spt="20" style="position:absolute;left:0pt;flip:y;margin-left:0.8pt;margin-top:4.5pt;height:0.05pt;width:435pt;z-index:251657216;mso-width-relative:page;mso-height-relative:page;" coordsize="21600,21600">
            <v:path arrowok="t"/>
            <v:fill focussize="0,0"/>
            <v:stroke weight="1pt"/>
            <v:imagedata o:title=""/>
            <o:lock v:ext="edit"/>
          </v:line>
        </w:pict>
      </w:r>
    </w:p>
    <w:p>
      <w:pPr>
        <w:spacing w:line="280" w:lineRule="exact"/>
        <w:ind w:firstLine="280" w:firstLineChars="100"/>
        <w:rPr>
          <w:rFonts w:eastAsia="仿宋_GB2312"/>
          <w:color w:val="auto"/>
          <w:sz w:val="28"/>
        </w:rPr>
      </w:pPr>
      <w:r>
        <w:rPr>
          <w:rFonts w:eastAsia="仿宋_GB2312"/>
          <w:color w:val="auto"/>
          <w:sz w:val="28"/>
        </w:rPr>
        <w:pict>
          <v:line id="_x0000_s1029" o:spid="_x0000_s1029" o:spt="20" style="position:absolute;left:0pt;flip:y;margin-left:0.8pt;margin-top:22.8pt;height:0.05pt;width:435pt;z-index:251658240;mso-width-relative:page;mso-height-relative:page;" coordsize="21600,21600">
            <v:path arrowok="t"/>
            <v:fill focussize="0,0"/>
            <v:stroke weight="1pt"/>
            <v:imagedata o:title=""/>
            <o:lock v:ext="edit"/>
          </v:line>
        </w:pict>
      </w:r>
      <w:r>
        <w:rPr>
          <w:rFonts w:hint="eastAsia" w:eastAsia="仿宋_GB2312"/>
          <w:color w:val="auto"/>
          <w:sz w:val="28"/>
        </w:rPr>
        <w:t>中共北京教育学院委员会办公室</w:t>
      </w:r>
      <w:r>
        <w:rPr>
          <w:rFonts w:hint="eastAsia" w:eastAsia="仿宋_GB2312"/>
          <w:color w:val="auto"/>
          <w:sz w:val="28"/>
          <w:lang w:val="en-US" w:eastAsia="zh-CN"/>
        </w:rPr>
        <w:t xml:space="preserve">           </w:t>
      </w:r>
      <w:r>
        <w:rPr>
          <w:rFonts w:eastAsia="仿宋_GB2312"/>
          <w:color w:val="auto"/>
          <w:sz w:val="28"/>
        </w:rPr>
        <w:t>20</w:t>
      </w:r>
      <w:r>
        <w:rPr>
          <w:rFonts w:hint="eastAsia" w:eastAsia="仿宋_GB2312"/>
          <w:color w:val="auto"/>
          <w:sz w:val="28"/>
        </w:rPr>
        <w:t>17年9月</w:t>
      </w:r>
      <w:r>
        <w:rPr>
          <w:rFonts w:hint="eastAsia" w:eastAsia="仿宋_GB2312"/>
          <w:color w:val="auto"/>
          <w:sz w:val="28"/>
          <w:lang w:val="en-US" w:eastAsia="zh-CN"/>
        </w:rPr>
        <w:t>30</w:t>
      </w:r>
      <w:bookmarkStart w:id="1" w:name="_GoBack"/>
      <w:bookmarkEnd w:id="1"/>
      <w:r>
        <w:rPr>
          <w:rFonts w:hint="eastAsia" w:eastAsia="仿宋_GB2312"/>
          <w:color w:val="auto"/>
          <w:sz w:val="28"/>
        </w:rPr>
        <w:t>日印发</w:t>
      </w:r>
    </w:p>
    <w:sectPr>
      <w:footerReference r:id="rId3" w:type="default"/>
      <w:footerReference r:id="rId4" w:type="even"/>
      <w:pgSz w:w="11906" w:h="16838"/>
      <w:pgMar w:top="2098" w:right="1531" w:bottom="1985" w:left="1531"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E5"/>
    <w:rsid w:val="0001080A"/>
    <w:rsid w:val="000270C6"/>
    <w:rsid w:val="00027101"/>
    <w:rsid w:val="0003746D"/>
    <w:rsid w:val="0003785C"/>
    <w:rsid w:val="000875C7"/>
    <w:rsid w:val="0009462E"/>
    <w:rsid w:val="000954EB"/>
    <w:rsid w:val="000A454F"/>
    <w:rsid w:val="000D7BDE"/>
    <w:rsid w:val="000D7DE2"/>
    <w:rsid w:val="000E24F9"/>
    <w:rsid w:val="000E3654"/>
    <w:rsid w:val="00113EBA"/>
    <w:rsid w:val="0012012D"/>
    <w:rsid w:val="001216AB"/>
    <w:rsid w:val="00137B4B"/>
    <w:rsid w:val="00146ED7"/>
    <w:rsid w:val="00147BA8"/>
    <w:rsid w:val="00151F36"/>
    <w:rsid w:val="00162CDE"/>
    <w:rsid w:val="00172A27"/>
    <w:rsid w:val="00186DC7"/>
    <w:rsid w:val="00192242"/>
    <w:rsid w:val="00195A9F"/>
    <w:rsid w:val="001B0521"/>
    <w:rsid w:val="001C2018"/>
    <w:rsid w:val="001D1473"/>
    <w:rsid w:val="001D2141"/>
    <w:rsid w:val="001F6B3F"/>
    <w:rsid w:val="001F6F05"/>
    <w:rsid w:val="002257CF"/>
    <w:rsid w:val="002506B0"/>
    <w:rsid w:val="0025172D"/>
    <w:rsid w:val="002865CE"/>
    <w:rsid w:val="00286D2E"/>
    <w:rsid w:val="00294E47"/>
    <w:rsid w:val="002A281B"/>
    <w:rsid w:val="002B07E7"/>
    <w:rsid w:val="002B33D2"/>
    <w:rsid w:val="002C2D50"/>
    <w:rsid w:val="002C46BB"/>
    <w:rsid w:val="002D5603"/>
    <w:rsid w:val="002D6F93"/>
    <w:rsid w:val="002E2E2C"/>
    <w:rsid w:val="002E538C"/>
    <w:rsid w:val="002F5CCC"/>
    <w:rsid w:val="003014AF"/>
    <w:rsid w:val="003025A9"/>
    <w:rsid w:val="003153DA"/>
    <w:rsid w:val="0032331F"/>
    <w:rsid w:val="00327EE1"/>
    <w:rsid w:val="00355A47"/>
    <w:rsid w:val="003638D4"/>
    <w:rsid w:val="00365B5E"/>
    <w:rsid w:val="003756D2"/>
    <w:rsid w:val="00390F3C"/>
    <w:rsid w:val="0039170D"/>
    <w:rsid w:val="003A43EC"/>
    <w:rsid w:val="003A6869"/>
    <w:rsid w:val="003B399B"/>
    <w:rsid w:val="003B56E3"/>
    <w:rsid w:val="003C7C9E"/>
    <w:rsid w:val="003D01FF"/>
    <w:rsid w:val="003D4811"/>
    <w:rsid w:val="003E3368"/>
    <w:rsid w:val="003E52C8"/>
    <w:rsid w:val="00400F17"/>
    <w:rsid w:val="0040229A"/>
    <w:rsid w:val="00406DE8"/>
    <w:rsid w:val="00410021"/>
    <w:rsid w:val="00436D4E"/>
    <w:rsid w:val="004414C6"/>
    <w:rsid w:val="004448A6"/>
    <w:rsid w:val="00450286"/>
    <w:rsid w:val="00475916"/>
    <w:rsid w:val="004A62D3"/>
    <w:rsid w:val="004B3A48"/>
    <w:rsid w:val="004C0CE8"/>
    <w:rsid w:val="004C2715"/>
    <w:rsid w:val="004C28B5"/>
    <w:rsid w:val="004E2D03"/>
    <w:rsid w:val="00524A26"/>
    <w:rsid w:val="00571C54"/>
    <w:rsid w:val="00574420"/>
    <w:rsid w:val="005765AE"/>
    <w:rsid w:val="00582DFB"/>
    <w:rsid w:val="005867C4"/>
    <w:rsid w:val="00586ED2"/>
    <w:rsid w:val="0059232C"/>
    <w:rsid w:val="00594DDD"/>
    <w:rsid w:val="005B346D"/>
    <w:rsid w:val="005B7A81"/>
    <w:rsid w:val="005E1033"/>
    <w:rsid w:val="00604A1D"/>
    <w:rsid w:val="00612662"/>
    <w:rsid w:val="00635D1C"/>
    <w:rsid w:val="00647E48"/>
    <w:rsid w:val="006516B5"/>
    <w:rsid w:val="0065391C"/>
    <w:rsid w:val="00655790"/>
    <w:rsid w:val="00660440"/>
    <w:rsid w:val="00666837"/>
    <w:rsid w:val="00671650"/>
    <w:rsid w:val="00674A15"/>
    <w:rsid w:val="006A10C8"/>
    <w:rsid w:val="006A2D29"/>
    <w:rsid w:val="006B1F50"/>
    <w:rsid w:val="006C60DA"/>
    <w:rsid w:val="006E2C47"/>
    <w:rsid w:val="006E317C"/>
    <w:rsid w:val="006E6BB1"/>
    <w:rsid w:val="00707FA8"/>
    <w:rsid w:val="00741C9F"/>
    <w:rsid w:val="00744000"/>
    <w:rsid w:val="007467DB"/>
    <w:rsid w:val="00757A62"/>
    <w:rsid w:val="007A0CE5"/>
    <w:rsid w:val="007A1660"/>
    <w:rsid w:val="007A5E41"/>
    <w:rsid w:val="007A6B5F"/>
    <w:rsid w:val="007B6236"/>
    <w:rsid w:val="007C2DB2"/>
    <w:rsid w:val="007F7B5D"/>
    <w:rsid w:val="00801AFA"/>
    <w:rsid w:val="00802CF7"/>
    <w:rsid w:val="00821F68"/>
    <w:rsid w:val="0085293D"/>
    <w:rsid w:val="00855978"/>
    <w:rsid w:val="0088228F"/>
    <w:rsid w:val="00893978"/>
    <w:rsid w:val="008C692E"/>
    <w:rsid w:val="008F2984"/>
    <w:rsid w:val="00910E31"/>
    <w:rsid w:val="00914D57"/>
    <w:rsid w:val="009254C4"/>
    <w:rsid w:val="00925A6D"/>
    <w:rsid w:val="00932D23"/>
    <w:rsid w:val="00950DE1"/>
    <w:rsid w:val="00983D45"/>
    <w:rsid w:val="00996ACF"/>
    <w:rsid w:val="009A2F0A"/>
    <w:rsid w:val="009B722D"/>
    <w:rsid w:val="009C03DF"/>
    <w:rsid w:val="009C6A3A"/>
    <w:rsid w:val="009D06E9"/>
    <w:rsid w:val="009D4405"/>
    <w:rsid w:val="009F1D0E"/>
    <w:rsid w:val="009F508D"/>
    <w:rsid w:val="00A03E89"/>
    <w:rsid w:val="00A315BC"/>
    <w:rsid w:val="00A36CFF"/>
    <w:rsid w:val="00A40C77"/>
    <w:rsid w:val="00A56A01"/>
    <w:rsid w:val="00A63991"/>
    <w:rsid w:val="00A726BC"/>
    <w:rsid w:val="00A747CC"/>
    <w:rsid w:val="00A848B3"/>
    <w:rsid w:val="00A96C51"/>
    <w:rsid w:val="00AA40A1"/>
    <w:rsid w:val="00AB6131"/>
    <w:rsid w:val="00AC1469"/>
    <w:rsid w:val="00AC593C"/>
    <w:rsid w:val="00AD2B70"/>
    <w:rsid w:val="00AD5531"/>
    <w:rsid w:val="00AE22FF"/>
    <w:rsid w:val="00B10BF2"/>
    <w:rsid w:val="00B36262"/>
    <w:rsid w:val="00B40046"/>
    <w:rsid w:val="00B62677"/>
    <w:rsid w:val="00B62B75"/>
    <w:rsid w:val="00B65564"/>
    <w:rsid w:val="00B729B9"/>
    <w:rsid w:val="00B8016C"/>
    <w:rsid w:val="00B914FD"/>
    <w:rsid w:val="00BA483B"/>
    <w:rsid w:val="00BB709E"/>
    <w:rsid w:val="00BC0E71"/>
    <w:rsid w:val="00BF3C3A"/>
    <w:rsid w:val="00C312F3"/>
    <w:rsid w:val="00C467D7"/>
    <w:rsid w:val="00C548C1"/>
    <w:rsid w:val="00C60460"/>
    <w:rsid w:val="00C73842"/>
    <w:rsid w:val="00C77E71"/>
    <w:rsid w:val="00C80507"/>
    <w:rsid w:val="00C83E53"/>
    <w:rsid w:val="00C92703"/>
    <w:rsid w:val="00C97213"/>
    <w:rsid w:val="00CA158B"/>
    <w:rsid w:val="00CA4457"/>
    <w:rsid w:val="00CC736B"/>
    <w:rsid w:val="00CD05FD"/>
    <w:rsid w:val="00CF74FC"/>
    <w:rsid w:val="00D02885"/>
    <w:rsid w:val="00D25A52"/>
    <w:rsid w:val="00D316BF"/>
    <w:rsid w:val="00D31B46"/>
    <w:rsid w:val="00D32511"/>
    <w:rsid w:val="00D52276"/>
    <w:rsid w:val="00D67A05"/>
    <w:rsid w:val="00D7681F"/>
    <w:rsid w:val="00DA4EDC"/>
    <w:rsid w:val="00DB0341"/>
    <w:rsid w:val="00DB1523"/>
    <w:rsid w:val="00DB6B0A"/>
    <w:rsid w:val="00DF1470"/>
    <w:rsid w:val="00DF295B"/>
    <w:rsid w:val="00DF6136"/>
    <w:rsid w:val="00E17A0C"/>
    <w:rsid w:val="00E25038"/>
    <w:rsid w:val="00E260B8"/>
    <w:rsid w:val="00E62813"/>
    <w:rsid w:val="00E66EE3"/>
    <w:rsid w:val="00E90AE8"/>
    <w:rsid w:val="00EA182D"/>
    <w:rsid w:val="00EA3EE3"/>
    <w:rsid w:val="00EA66A2"/>
    <w:rsid w:val="00EB2A11"/>
    <w:rsid w:val="00EC5FAE"/>
    <w:rsid w:val="00EE17BA"/>
    <w:rsid w:val="00EF3A06"/>
    <w:rsid w:val="00EF7C28"/>
    <w:rsid w:val="00F0670F"/>
    <w:rsid w:val="00F17943"/>
    <w:rsid w:val="00F17C1B"/>
    <w:rsid w:val="00F22D58"/>
    <w:rsid w:val="00F3115D"/>
    <w:rsid w:val="00F346CF"/>
    <w:rsid w:val="00F43C48"/>
    <w:rsid w:val="00F4719F"/>
    <w:rsid w:val="00F539E5"/>
    <w:rsid w:val="00F70B19"/>
    <w:rsid w:val="00FB271F"/>
    <w:rsid w:val="00FD071A"/>
    <w:rsid w:val="00FD1EE7"/>
    <w:rsid w:val="00FD6EED"/>
    <w:rsid w:val="01AC246B"/>
    <w:rsid w:val="01E7522B"/>
    <w:rsid w:val="03056D0A"/>
    <w:rsid w:val="03FD7626"/>
    <w:rsid w:val="049D0FA0"/>
    <w:rsid w:val="0640052C"/>
    <w:rsid w:val="071052C7"/>
    <w:rsid w:val="072307B5"/>
    <w:rsid w:val="07D678DF"/>
    <w:rsid w:val="0810414B"/>
    <w:rsid w:val="09227375"/>
    <w:rsid w:val="096A19D1"/>
    <w:rsid w:val="09766605"/>
    <w:rsid w:val="0A4D6F96"/>
    <w:rsid w:val="0A9F3A98"/>
    <w:rsid w:val="0C6F676E"/>
    <w:rsid w:val="0CFA2010"/>
    <w:rsid w:val="0D395AD1"/>
    <w:rsid w:val="0DAE4E1E"/>
    <w:rsid w:val="0DD71999"/>
    <w:rsid w:val="0DD7346E"/>
    <w:rsid w:val="0EA23EF0"/>
    <w:rsid w:val="0EC36C90"/>
    <w:rsid w:val="0ED76713"/>
    <w:rsid w:val="0EEC79D7"/>
    <w:rsid w:val="0F0031BD"/>
    <w:rsid w:val="10131D1B"/>
    <w:rsid w:val="12F140A3"/>
    <w:rsid w:val="135A49D6"/>
    <w:rsid w:val="140934F7"/>
    <w:rsid w:val="14A86F36"/>
    <w:rsid w:val="14AD0D53"/>
    <w:rsid w:val="14AF3118"/>
    <w:rsid w:val="14B75B8D"/>
    <w:rsid w:val="14B9636B"/>
    <w:rsid w:val="155917CE"/>
    <w:rsid w:val="15BA538D"/>
    <w:rsid w:val="164471AF"/>
    <w:rsid w:val="16930024"/>
    <w:rsid w:val="17A21239"/>
    <w:rsid w:val="18030EF6"/>
    <w:rsid w:val="18414AC1"/>
    <w:rsid w:val="18FC0BAC"/>
    <w:rsid w:val="19177401"/>
    <w:rsid w:val="193D54AA"/>
    <w:rsid w:val="19571550"/>
    <w:rsid w:val="1962703C"/>
    <w:rsid w:val="197E6B21"/>
    <w:rsid w:val="1A0E39DC"/>
    <w:rsid w:val="1AE14429"/>
    <w:rsid w:val="1B003DD6"/>
    <w:rsid w:val="1BA57A29"/>
    <w:rsid w:val="1BBE3040"/>
    <w:rsid w:val="1BCC6E07"/>
    <w:rsid w:val="1C9E48A1"/>
    <w:rsid w:val="1CAE3A35"/>
    <w:rsid w:val="1CBD1E69"/>
    <w:rsid w:val="1CBF2E98"/>
    <w:rsid w:val="1CC40802"/>
    <w:rsid w:val="1D137248"/>
    <w:rsid w:val="1E570CB1"/>
    <w:rsid w:val="1EE716E1"/>
    <w:rsid w:val="1F0D6B36"/>
    <w:rsid w:val="1F1D6A8B"/>
    <w:rsid w:val="1F1E5514"/>
    <w:rsid w:val="1FE0380B"/>
    <w:rsid w:val="20732ACA"/>
    <w:rsid w:val="20950D69"/>
    <w:rsid w:val="20B81FEA"/>
    <w:rsid w:val="219D3881"/>
    <w:rsid w:val="21B75251"/>
    <w:rsid w:val="226C16CB"/>
    <w:rsid w:val="242F514D"/>
    <w:rsid w:val="24616B67"/>
    <w:rsid w:val="25C348A5"/>
    <w:rsid w:val="26AE206E"/>
    <w:rsid w:val="271C6F29"/>
    <w:rsid w:val="2780424F"/>
    <w:rsid w:val="27C32670"/>
    <w:rsid w:val="289F3C72"/>
    <w:rsid w:val="28F519D3"/>
    <w:rsid w:val="29423887"/>
    <w:rsid w:val="2AC33537"/>
    <w:rsid w:val="2B6A1F3A"/>
    <w:rsid w:val="2BB63E07"/>
    <w:rsid w:val="2C727E04"/>
    <w:rsid w:val="301B340F"/>
    <w:rsid w:val="331324FB"/>
    <w:rsid w:val="34AE15EE"/>
    <w:rsid w:val="34FF6673"/>
    <w:rsid w:val="35016ACF"/>
    <w:rsid w:val="356335EA"/>
    <w:rsid w:val="36AF59DE"/>
    <w:rsid w:val="37A10ED3"/>
    <w:rsid w:val="37D922E2"/>
    <w:rsid w:val="3817024C"/>
    <w:rsid w:val="38414613"/>
    <w:rsid w:val="3A1A622A"/>
    <w:rsid w:val="3AF32DE0"/>
    <w:rsid w:val="3C2710C2"/>
    <w:rsid w:val="3C297387"/>
    <w:rsid w:val="3C534314"/>
    <w:rsid w:val="3CBD5374"/>
    <w:rsid w:val="3CFF586A"/>
    <w:rsid w:val="3D562B96"/>
    <w:rsid w:val="3DFF0AF5"/>
    <w:rsid w:val="3F7019F0"/>
    <w:rsid w:val="4000532E"/>
    <w:rsid w:val="406E0183"/>
    <w:rsid w:val="43082A54"/>
    <w:rsid w:val="43BC0476"/>
    <w:rsid w:val="43F70916"/>
    <w:rsid w:val="445334F5"/>
    <w:rsid w:val="4737307C"/>
    <w:rsid w:val="473B11DF"/>
    <w:rsid w:val="476D0389"/>
    <w:rsid w:val="48F754AC"/>
    <w:rsid w:val="494363E2"/>
    <w:rsid w:val="4A2A10FC"/>
    <w:rsid w:val="4A6F570A"/>
    <w:rsid w:val="4B2C055B"/>
    <w:rsid w:val="4B7D7E03"/>
    <w:rsid w:val="4CF606B6"/>
    <w:rsid w:val="4D0502A8"/>
    <w:rsid w:val="4D0D7394"/>
    <w:rsid w:val="4D5511CF"/>
    <w:rsid w:val="4D730C1B"/>
    <w:rsid w:val="4D82315A"/>
    <w:rsid w:val="4DB8040E"/>
    <w:rsid w:val="4E4B3624"/>
    <w:rsid w:val="4E863770"/>
    <w:rsid w:val="4EAC3648"/>
    <w:rsid w:val="4F382459"/>
    <w:rsid w:val="50D25EF9"/>
    <w:rsid w:val="520C6D5F"/>
    <w:rsid w:val="52294721"/>
    <w:rsid w:val="525F3E8E"/>
    <w:rsid w:val="52FA3A7F"/>
    <w:rsid w:val="53310A55"/>
    <w:rsid w:val="53524FF6"/>
    <w:rsid w:val="53DA402F"/>
    <w:rsid w:val="542B2CF2"/>
    <w:rsid w:val="548B1622"/>
    <w:rsid w:val="54C14D64"/>
    <w:rsid w:val="54FF38FA"/>
    <w:rsid w:val="54FF66E0"/>
    <w:rsid w:val="556C7ECB"/>
    <w:rsid w:val="55F631F5"/>
    <w:rsid w:val="56355C78"/>
    <w:rsid w:val="57D2067C"/>
    <w:rsid w:val="57F10840"/>
    <w:rsid w:val="596047E1"/>
    <w:rsid w:val="5A627FC8"/>
    <w:rsid w:val="5A932DA3"/>
    <w:rsid w:val="5AD212BC"/>
    <w:rsid w:val="5B336FE0"/>
    <w:rsid w:val="5B556D23"/>
    <w:rsid w:val="5BD02A4D"/>
    <w:rsid w:val="5C511B46"/>
    <w:rsid w:val="5C8E60B8"/>
    <w:rsid w:val="5CEA0507"/>
    <w:rsid w:val="5D601779"/>
    <w:rsid w:val="5DBF1705"/>
    <w:rsid w:val="5E765DBD"/>
    <w:rsid w:val="5F49779C"/>
    <w:rsid w:val="60374563"/>
    <w:rsid w:val="61126279"/>
    <w:rsid w:val="61F45DA4"/>
    <w:rsid w:val="62A2707D"/>
    <w:rsid w:val="63FD164E"/>
    <w:rsid w:val="640154E5"/>
    <w:rsid w:val="64966301"/>
    <w:rsid w:val="66DD448D"/>
    <w:rsid w:val="671562A3"/>
    <w:rsid w:val="67D27A4E"/>
    <w:rsid w:val="68105525"/>
    <w:rsid w:val="684F7E25"/>
    <w:rsid w:val="691849D1"/>
    <w:rsid w:val="69B619AA"/>
    <w:rsid w:val="69F45999"/>
    <w:rsid w:val="6BBB328C"/>
    <w:rsid w:val="6BF04A6C"/>
    <w:rsid w:val="6D2A7669"/>
    <w:rsid w:val="6D577DCA"/>
    <w:rsid w:val="6DE9086E"/>
    <w:rsid w:val="6EAA5FBD"/>
    <w:rsid w:val="6EB0726B"/>
    <w:rsid w:val="6EE372C8"/>
    <w:rsid w:val="6F102D68"/>
    <w:rsid w:val="6F545E4A"/>
    <w:rsid w:val="70131E89"/>
    <w:rsid w:val="71E37826"/>
    <w:rsid w:val="720C2B49"/>
    <w:rsid w:val="72CB057D"/>
    <w:rsid w:val="73B9224C"/>
    <w:rsid w:val="7613340B"/>
    <w:rsid w:val="763F7C9E"/>
    <w:rsid w:val="76AD2EBB"/>
    <w:rsid w:val="76CE5493"/>
    <w:rsid w:val="77331DDF"/>
    <w:rsid w:val="77A03638"/>
    <w:rsid w:val="7887049C"/>
    <w:rsid w:val="78C60FA2"/>
    <w:rsid w:val="78F032B6"/>
    <w:rsid w:val="7A0B7A1A"/>
    <w:rsid w:val="7AD16F01"/>
    <w:rsid w:val="7E5A2EA8"/>
    <w:rsid w:val="7F50508C"/>
    <w:rsid w:val="7FAC59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rPr>
      <w:rFonts w:ascii="Calibri" w:hAnsi="Calibri"/>
      <w:szCs w:val="22"/>
    </w:rPr>
  </w:style>
  <w:style w:type="paragraph" w:styleId="3">
    <w:name w:val="Salutation"/>
    <w:basedOn w:val="1"/>
    <w:next w:val="1"/>
    <w:qFormat/>
    <w:uiPriority w:val="0"/>
    <w:rPr>
      <w:sz w:val="28"/>
    </w:rPr>
  </w:style>
  <w:style w:type="paragraph" w:styleId="4">
    <w:name w:val="Date"/>
    <w:basedOn w:val="1"/>
    <w:next w:val="1"/>
    <w:qFormat/>
    <w:uiPriority w:val="0"/>
    <w:rPr>
      <w:rFonts w:ascii="仿宋_GB2312" w:eastAsia="仿宋_GB2312"/>
      <w:sz w:val="32"/>
    </w:rPr>
  </w:style>
  <w:style w:type="paragraph" w:styleId="5">
    <w:name w:val="Balloon Text"/>
    <w:basedOn w:val="1"/>
    <w:link w:val="14"/>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paragraph" w:customStyle="1" w:styleId="12">
    <w:name w:val="Char Char"/>
    <w:basedOn w:val="1"/>
    <w:qFormat/>
    <w:uiPriority w:val="0"/>
  </w:style>
  <w:style w:type="character" w:customStyle="1" w:styleId="13">
    <w:name w:val="页脚 Char"/>
    <w:link w:val="6"/>
    <w:qFormat/>
    <w:uiPriority w:val="99"/>
    <w:rPr>
      <w:kern w:val="2"/>
      <w:sz w:val="18"/>
    </w:rPr>
  </w:style>
  <w:style w:type="character" w:customStyle="1" w:styleId="14">
    <w:name w:val="批注框文本 Char"/>
    <w:link w:val="5"/>
    <w:semiHidden/>
    <w:qFormat/>
    <w:uiPriority w:val="99"/>
    <w:rPr>
      <w:kern w:val="2"/>
      <w:sz w:val="18"/>
      <w:szCs w:val="18"/>
    </w:rPr>
  </w:style>
  <w:style w:type="paragraph" w:customStyle="1" w:styleId="15">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
    <w:name w:val="列出段落1"/>
    <w:basedOn w:val="1"/>
    <w:qFormat/>
    <w:uiPriority w:val="0"/>
    <w:pPr>
      <w:ind w:firstLine="420" w:firstLineChars="200"/>
    </w:pPr>
    <w:rPr>
      <w:rFonts w:ascii="Calibri" w:hAnsi="Calibri"/>
      <w:szCs w:val="22"/>
    </w:rPr>
  </w:style>
  <w:style w:type="character" w:customStyle="1" w:styleId="17">
    <w:name w:val="批注文字 Char"/>
    <w:link w:val="2"/>
    <w:qFormat/>
    <w:uiPriority w:val="0"/>
    <w:rPr>
      <w:rFonts w:ascii="Calibri" w:hAnsi="Calibri"/>
      <w:kern w:val="2"/>
      <w:sz w:val="21"/>
      <w:szCs w:val="22"/>
    </w:rPr>
  </w:style>
  <w:style w:type="character" w:customStyle="1" w:styleId="18">
    <w:name w:val="normalclass1"/>
    <w:qFormat/>
    <w:uiPriority w:val="0"/>
  </w:style>
  <w:style w:type="character" w:customStyle="1" w:styleId="19">
    <w:name w:val="批注文字 Char1"/>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6FA9-BF1D-4F6B-967B-2F27BB5238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1909</Words>
  <Characters>10886</Characters>
  <Lines>90</Lines>
  <Paragraphs>25</Paragraphs>
  <TotalTime>175</TotalTime>
  <ScaleCrop>false</ScaleCrop>
  <LinksUpToDate>false</LinksUpToDate>
  <CharactersWithSpaces>12770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2017-04-17T02:59:00Z</dcterms:created>
  <dc:creator>Administrator</dc:creator>
  <cp:lastModifiedBy>hp</cp:lastModifiedBy>
  <cp:lastPrinted>2018-09-30T08:24:15Z</cp:lastPrinted>
  <dcterms:modified xsi:type="dcterms:W3CDTF">2018-09-30T08:26:37Z</dcterms:modified>
  <dc:title>京教院教发〔2012〕3号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