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default" w:ascii="Times New Roman" w:hAnsi="Times New Roman" w:cs="Times New Roman"/>
          <w:b w:val="0"/>
          <w:bCs w:val="0"/>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 w:val="32"/>
        </w:rPr>
      </w:pPr>
    </w:p>
    <w:p>
      <w:pPr>
        <w:rPr>
          <w:rFonts w:hint="default" w:ascii="Times New Roman" w:hAnsi="Times New Roman" w:cs="Times New Roman"/>
          <w:b w:val="0"/>
          <w:bCs w:val="0"/>
          <w:szCs w:val="21"/>
        </w:rPr>
      </w:pPr>
    </w:p>
    <w:p>
      <w:pPr>
        <w:pStyle w:val="8"/>
        <w:jc w:val="center"/>
        <w:rPr>
          <w:rFonts w:hint="default" w:ascii="Times New Roman" w:hAnsi="Times New Roman" w:cs="Times New Roman"/>
          <w:b w:val="0"/>
          <w:bCs w:val="0"/>
          <w:sz w:val="32"/>
        </w:rPr>
      </w:pPr>
    </w:p>
    <w:p>
      <w:pPr>
        <w:pStyle w:val="8"/>
        <w:jc w:val="center"/>
        <w:outlineLvl w:val="0"/>
        <w:rPr>
          <w:rFonts w:hint="default" w:ascii="Times New Roman" w:hAnsi="Times New Roman" w:cs="Times New Roman"/>
          <w:b w:val="0"/>
          <w:bCs w:val="0"/>
          <w:sz w:val="32"/>
          <w:szCs w:val="32"/>
        </w:rPr>
      </w:pPr>
      <w:r>
        <w:rPr>
          <w:rFonts w:hint="default" w:ascii="Times New Roman" w:hAnsi="Times New Roman" w:cs="Times New Roman"/>
          <w:b w:val="0"/>
          <w:bCs w:val="0"/>
          <w:sz w:val="32"/>
        </w:rPr>
        <w:t>京教院党发〔202</w:t>
      </w:r>
      <w:r>
        <w:rPr>
          <w:rFonts w:hint="eastAsia" w:ascii="Times New Roman" w:cs="Times New Roman"/>
          <w:b w:val="0"/>
          <w:bCs w:val="0"/>
          <w:sz w:val="32"/>
          <w:lang w:val="en-US" w:eastAsia="zh-CN"/>
        </w:rPr>
        <w:t>2</w:t>
      </w:r>
      <w:r>
        <w:rPr>
          <w:rFonts w:hint="default" w:ascii="Times New Roman" w:hAnsi="Times New Roman" w:cs="Times New Roman"/>
          <w:b w:val="0"/>
          <w:bCs w:val="0"/>
          <w:sz w:val="32"/>
        </w:rPr>
        <w:t>〕</w:t>
      </w:r>
      <w:r>
        <w:rPr>
          <w:rFonts w:hint="eastAsia" w:ascii="Times New Roman" w:cs="Times New Roman"/>
          <w:b w:val="0"/>
          <w:bCs w:val="0"/>
          <w:sz w:val="32"/>
          <w:lang w:val="en-US" w:eastAsia="zh-CN"/>
        </w:rPr>
        <w:t>19</w:t>
      </w:r>
      <w:r>
        <w:rPr>
          <w:rFonts w:hint="default" w:ascii="Times New Roman" w:hAnsi="Times New Roman" w:cs="Times New Roman"/>
          <w:b w:val="0"/>
          <w:bCs w:val="0"/>
          <w:sz w:val="32"/>
        </w:rPr>
        <w:t>号</w:t>
      </w:r>
    </w:p>
    <w:p>
      <w:pPr>
        <w:spacing w:line="480" w:lineRule="exact"/>
        <w:jc w:val="center"/>
        <w:rPr>
          <w:rFonts w:hint="default" w:ascii="Times New Roman" w:hAnsi="Times New Roman" w:eastAsia="仿宋_GB2312" w:cs="Times New Roman"/>
          <w:b w:val="0"/>
          <w:bCs w:val="0"/>
          <w:sz w:val="32"/>
          <w:szCs w:val="32"/>
        </w:rPr>
      </w:pPr>
    </w:p>
    <w:p>
      <w:pPr>
        <w:spacing w:line="480" w:lineRule="exact"/>
        <w:jc w:val="center"/>
        <w:rPr>
          <w:rFonts w:hint="default" w:ascii="Times New Roman" w:hAnsi="Times New Roman" w:eastAsia="仿宋_GB2312" w:cs="Times New Roman"/>
          <w:b w:val="0"/>
          <w:bCs w:val="0"/>
          <w:sz w:val="32"/>
          <w:szCs w:val="32"/>
        </w:rPr>
      </w:pPr>
    </w:p>
    <w:p>
      <w:pPr>
        <w:spacing w:line="480" w:lineRule="exact"/>
        <w:jc w:val="center"/>
        <w:rPr>
          <w:rFonts w:hint="default" w:ascii="Times New Roman" w:hAnsi="Times New Roman" w:eastAsia="仿宋_GB2312" w:cs="Times New Roman"/>
          <w:b w:val="0"/>
          <w:bCs w:val="0"/>
          <w:sz w:val="32"/>
          <w:szCs w:val="32"/>
        </w:rPr>
      </w:pPr>
    </w:p>
    <w:p>
      <w:pPr>
        <w:spacing w:line="560" w:lineRule="exact"/>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中共北京教育学院委员会</w:t>
      </w:r>
    </w:p>
    <w:p>
      <w:pPr>
        <w:spacing w:line="560" w:lineRule="exact"/>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关于印发《</w:t>
      </w:r>
      <w:bookmarkStart w:id="0" w:name="_Hlk80305695"/>
      <w:r>
        <w:rPr>
          <w:rFonts w:hint="default" w:ascii="Times New Roman" w:hAnsi="Times New Roman" w:eastAsia="方正小标宋简体" w:cs="Times New Roman"/>
          <w:b w:val="0"/>
          <w:bCs w:val="0"/>
          <w:sz w:val="44"/>
          <w:szCs w:val="44"/>
        </w:rPr>
        <w:t>北京教育学院</w:t>
      </w:r>
      <w:bookmarkStart w:id="1" w:name="_Hlk81236421"/>
      <w:r>
        <w:rPr>
          <w:rFonts w:hint="default" w:ascii="Times New Roman" w:hAnsi="Times New Roman" w:eastAsia="方正小标宋简体" w:cs="Times New Roman"/>
          <w:b w:val="0"/>
          <w:bCs w:val="0"/>
          <w:sz w:val="44"/>
          <w:szCs w:val="44"/>
        </w:rPr>
        <w:t>“</w:t>
      </w:r>
      <w:bookmarkStart w:id="2" w:name="_Hlk80296760"/>
      <w:r>
        <w:rPr>
          <w:rFonts w:hint="default" w:ascii="Times New Roman" w:hAnsi="Times New Roman" w:eastAsia="方正小标宋简体" w:cs="Times New Roman"/>
          <w:b w:val="0"/>
          <w:bCs w:val="0"/>
          <w:sz w:val="44"/>
          <w:szCs w:val="44"/>
        </w:rPr>
        <w:t>优教优才</w:t>
      </w:r>
      <w:bookmarkEnd w:id="2"/>
      <w:r>
        <w:rPr>
          <w:rFonts w:hint="default" w:ascii="Times New Roman" w:hAnsi="Times New Roman" w:eastAsia="方正小标宋简体" w:cs="Times New Roman"/>
          <w:b w:val="0"/>
          <w:bCs w:val="0"/>
          <w:sz w:val="44"/>
          <w:szCs w:val="44"/>
        </w:rPr>
        <w:t>”</w:t>
      </w:r>
    </w:p>
    <w:bookmarkEnd w:id="0"/>
    <w:bookmarkEnd w:id="1"/>
    <w:p>
      <w:pPr>
        <w:spacing w:line="560" w:lineRule="exact"/>
        <w:jc w:val="center"/>
        <w:outlineLvl w:val="0"/>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发展工程实施方案》的通知</w:t>
      </w:r>
    </w:p>
    <w:p>
      <w:pPr>
        <w:spacing w:line="560" w:lineRule="exact"/>
        <w:jc w:val="center"/>
        <w:rPr>
          <w:rFonts w:hint="default" w:ascii="Times New Roman" w:hAnsi="Times New Roman" w:eastAsia="方正小标宋简体" w:cs="Times New Roman"/>
          <w:b w:val="0"/>
          <w:bCs w:val="0"/>
          <w:sz w:val="44"/>
          <w:szCs w:val="44"/>
        </w:rPr>
      </w:pPr>
    </w:p>
    <w:p>
      <w:pPr>
        <w:spacing w:line="560" w:lineRule="exact"/>
        <w:jc w:val="left"/>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各二级党组织、各部门：</w:t>
      </w:r>
    </w:p>
    <w:p>
      <w:pPr>
        <w:spacing w:line="560" w:lineRule="exact"/>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 xml:space="preserve">    经学院三届党委常委会第1</w:t>
      </w:r>
      <w:r>
        <w:rPr>
          <w:rFonts w:hint="default" w:ascii="Times New Roman" w:hAnsi="Times New Roman" w:eastAsia="楷体_GB2312" w:cs="Times New Roman"/>
          <w:b w:val="0"/>
          <w:bCs w:val="0"/>
          <w:sz w:val="32"/>
          <w:szCs w:val="32"/>
          <w:lang w:val="en-US" w:eastAsia="zh-CN"/>
        </w:rPr>
        <w:t>58</w:t>
      </w:r>
      <w:r>
        <w:rPr>
          <w:rFonts w:hint="default" w:ascii="Times New Roman" w:hAnsi="Times New Roman" w:eastAsia="楷体_GB2312" w:cs="Times New Roman"/>
          <w:b w:val="0"/>
          <w:bCs w:val="0"/>
          <w:sz w:val="32"/>
          <w:szCs w:val="32"/>
        </w:rPr>
        <w:t>次会议研究决定，现将《北京教育学院“优教优才”发展工程实施方案》印发给你们，请认真贯彻落实。</w:t>
      </w:r>
    </w:p>
    <w:p>
      <w:pPr>
        <w:wordWrap w:val="0"/>
        <w:spacing w:line="560" w:lineRule="exact"/>
        <w:ind w:firstLine="640" w:firstLineChars="200"/>
        <w:jc w:val="right"/>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ab/>
      </w:r>
    </w:p>
    <w:p>
      <w:pPr>
        <w:wordWrap w:val="0"/>
        <w:spacing w:line="560" w:lineRule="exact"/>
        <w:ind w:firstLine="640" w:firstLineChars="200"/>
        <w:jc w:val="right"/>
        <w:rPr>
          <w:rFonts w:hint="default" w:ascii="Times New Roman" w:hAnsi="Times New Roman" w:eastAsia="楷体_GB2312" w:cs="Times New Roman"/>
          <w:b w:val="0"/>
          <w:bCs w:val="0"/>
          <w:sz w:val="32"/>
          <w:szCs w:val="32"/>
        </w:rPr>
      </w:pPr>
    </w:p>
    <w:p>
      <w:pPr>
        <w:wordWrap w:val="0"/>
        <w:spacing w:line="560" w:lineRule="exact"/>
        <w:ind w:firstLine="640" w:firstLineChars="200"/>
        <w:jc w:val="right"/>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 xml:space="preserve">中共北京教育学院委员会 </w:t>
      </w:r>
    </w:p>
    <w:p>
      <w:pPr>
        <w:wordWrap w:val="0"/>
        <w:spacing w:line="560" w:lineRule="exact"/>
        <w:ind w:firstLine="640" w:firstLineChars="200"/>
        <w:jc w:val="right"/>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 xml:space="preserve">   202</w:t>
      </w:r>
      <w:r>
        <w:rPr>
          <w:rFonts w:hint="eastAsia"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年</w:t>
      </w:r>
      <w:r>
        <w:rPr>
          <w:rFonts w:hint="default" w:ascii="Times New Roman" w:hAnsi="Times New Roman" w:eastAsia="楷体_GB2312" w:cs="Times New Roman"/>
          <w:b w:val="0"/>
          <w:bCs w:val="0"/>
          <w:sz w:val="32"/>
          <w:szCs w:val="32"/>
          <w:lang w:val="en-US" w:eastAsia="zh-CN"/>
        </w:rPr>
        <w:t>1</w:t>
      </w:r>
      <w:r>
        <w:rPr>
          <w:rFonts w:hint="eastAsia" w:eastAsia="楷体_GB2312" w:cs="Times New Roman"/>
          <w:b w:val="0"/>
          <w:bCs w:val="0"/>
          <w:sz w:val="32"/>
          <w:szCs w:val="32"/>
          <w:lang w:val="en-US" w:eastAsia="zh-CN"/>
        </w:rPr>
        <w:t>2</w:t>
      </w:r>
      <w:r>
        <w:rPr>
          <w:rFonts w:hint="default" w:ascii="Times New Roman" w:hAnsi="Times New Roman" w:eastAsia="楷体_GB2312" w:cs="Times New Roman"/>
          <w:b w:val="0"/>
          <w:bCs w:val="0"/>
          <w:sz w:val="32"/>
          <w:szCs w:val="32"/>
        </w:rPr>
        <w:t>月</w:t>
      </w:r>
      <w:r>
        <w:rPr>
          <w:rFonts w:hint="eastAsia" w:eastAsia="楷体_GB2312" w:cs="Times New Roman"/>
          <w:b w:val="0"/>
          <w:bCs w:val="0"/>
          <w:sz w:val="32"/>
          <w:szCs w:val="32"/>
          <w:lang w:val="en-US" w:eastAsia="zh-CN"/>
        </w:rPr>
        <w:t>30</w:t>
      </w:r>
      <w:r>
        <w:rPr>
          <w:rFonts w:hint="default" w:ascii="Times New Roman" w:hAnsi="Times New Roman" w:eastAsia="楷体_GB2312" w:cs="Times New Roman"/>
          <w:b w:val="0"/>
          <w:bCs w:val="0"/>
          <w:sz w:val="32"/>
          <w:szCs w:val="32"/>
        </w:rPr>
        <w:t xml:space="preserve">日    </w:t>
      </w:r>
    </w:p>
    <w:p>
      <w:pPr>
        <w:spacing w:line="520" w:lineRule="exact"/>
        <w:rPr>
          <w:rFonts w:hint="default" w:ascii="Times New Roman" w:hAnsi="Times New Roman" w:eastAsia="方正小标宋简体" w:cs="Times New Roman"/>
          <w:b w:val="0"/>
          <w:bCs w:val="0"/>
          <w:vanish/>
          <w:sz w:val="44"/>
          <w:szCs w:val="44"/>
        </w:rPr>
      </w:pPr>
    </w:p>
    <w:p>
      <w:pPr>
        <w:spacing w:line="520" w:lineRule="exact"/>
        <w:jc w:val="center"/>
        <w:rPr>
          <w:rFonts w:hint="default" w:ascii="Times New Roman" w:hAnsi="Times New Roman" w:eastAsia="方正小标宋简体" w:cs="Times New Roman"/>
          <w:b w:val="0"/>
          <w:bCs w:val="0"/>
          <w:vanish/>
          <w:sz w:val="44"/>
          <w:szCs w:val="44"/>
        </w:rPr>
      </w:pPr>
    </w:p>
    <w:p>
      <w:pPr>
        <w:spacing w:line="560" w:lineRule="exact"/>
        <w:jc w:val="center"/>
        <w:outlineLvl w:val="0"/>
        <w:rPr>
          <w:rFonts w:hint="default" w:ascii="Times New Roman" w:hAnsi="Times New Roman" w:eastAsia="方正小标宋简体" w:cs="Times New Roman"/>
          <w:b w:val="0"/>
          <w:bCs w:val="0"/>
          <w:sz w:val="44"/>
          <w:szCs w:val="44"/>
          <w:lang w:val="zh-TW"/>
        </w:rPr>
      </w:pPr>
    </w:p>
    <w:p>
      <w:pPr>
        <w:spacing w:line="560" w:lineRule="exact"/>
        <w:jc w:val="center"/>
        <w:outlineLvl w:val="0"/>
        <w:rPr>
          <w:rFonts w:hint="default" w:ascii="Times New Roman" w:hAnsi="Times New Roman" w:eastAsia="方正小标宋简体" w:cs="Times New Roman"/>
          <w:b w:val="0"/>
          <w:bCs w:val="0"/>
          <w:sz w:val="44"/>
          <w:szCs w:val="44"/>
          <w:lang w:val="zh-TW"/>
        </w:rPr>
      </w:pPr>
    </w:p>
    <w:p>
      <w:pPr>
        <w:spacing w:line="560" w:lineRule="exact"/>
        <w:jc w:val="center"/>
        <w:outlineLvl w:val="0"/>
        <w:rPr>
          <w:rFonts w:hint="default" w:ascii="Times New Roman" w:hAnsi="Times New Roman" w:eastAsia="方正小标宋简体" w:cs="Times New Roman"/>
          <w:b w:val="0"/>
          <w:bCs w:val="0"/>
          <w:sz w:val="44"/>
          <w:szCs w:val="44"/>
          <w:lang w:val="zh-TW"/>
        </w:rPr>
      </w:pPr>
      <w:bookmarkStart w:id="14" w:name="_GoBack"/>
      <w:bookmarkEnd w:id="14"/>
    </w:p>
    <w:p>
      <w:pPr>
        <w:autoSpaceDE w:val="0"/>
        <w:autoSpaceDN w:val="0"/>
        <w:spacing w:line="560" w:lineRule="exact"/>
        <w:jc w:val="center"/>
        <w:rPr>
          <w:rFonts w:hint="default" w:ascii="Times New Roman" w:hAnsi="Times New Roman" w:eastAsia="方正小标宋简体" w:cs="Times New Roman"/>
          <w:b w:val="0"/>
          <w:bCs w:val="0"/>
          <w:kern w:val="36"/>
          <w:sz w:val="44"/>
          <w:szCs w:val="32"/>
        </w:rPr>
      </w:pPr>
      <w:r>
        <w:rPr>
          <w:rFonts w:hint="default" w:ascii="Times New Roman" w:hAnsi="Times New Roman" w:eastAsia="方正小标宋简体" w:cs="Times New Roman"/>
          <w:b w:val="0"/>
          <w:bCs w:val="0"/>
          <w:kern w:val="36"/>
          <w:sz w:val="44"/>
          <w:szCs w:val="32"/>
        </w:rPr>
        <w:t>北京教育学院</w:t>
      </w:r>
    </w:p>
    <w:p>
      <w:pPr>
        <w:autoSpaceDE w:val="0"/>
        <w:autoSpaceDN w:val="0"/>
        <w:spacing w:line="560" w:lineRule="exact"/>
        <w:jc w:val="center"/>
        <w:rPr>
          <w:rFonts w:hint="default" w:ascii="Times New Roman" w:hAnsi="Times New Roman" w:eastAsia="方正小标宋简体" w:cs="Times New Roman"/>
          <w:b w:val="0"/>
          <w:bCs w:val="0"/>
          <w:kern w:val="36"/>
          <w:sz w:val="44"/>
          <w:szCs w:val="32"/>
        </w:rPr>
      </w:pPr>
      <w:r>
        <w:rPr>
          <w:rFonts w:hint="default" w:ascii="Times New Roman" w:hAnsi="Times New Roman" w:eastAsia="方正小标宋简体" w:cs="Times New Roman"/>
          <w:b w:val="0"/>
          <w:bCs w:val="0"/>
          <w:kern w:val="36"/>
          <w:sz w:val="44"/>
          <w:szCs w:val="32"/>
        </w:rPr>
        <w:t>“优教优才”发展工程实施方案</w:t>
      </w:r>
    </w:p>
    <w:p>
      <w:pPr>
        <w:widowControl/>
        <w:autoSpaceDE w:val="0"/>
        <w:autoSpaceDN w:val="0"/>
        <w:spacing w:line="560" w:lineRule="exact"/>
        <w:ind w:firstLine="640" w:firstLineChars="200"/>
        <w:rPr>
          <w:rFonts w:hint="default" w:ascii="Times New Roman" w:hAnsi="Times New Roman" w:eastAsia="仿宋_GB2312" w:cs="Times New Roman"/>
          <w:b w:val="0"/>
          <w:bCs w:val="0"/>
          <w:kern w:val="0"/>
          <w:sz w:val="32"/>
          <w:szCs w:val="32"/>
        </w:rPr>
      </w:pPr>
    </w:p>
    <w:p>
      <w:pPr>
        <w:spacing w:line="560" w:lineRule="exact"/>
        <w:ind w:firstLine="640" w:firstLineChars="200"/>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仿宋_GB2312" w:cs="Times New Roman"/>
          <w:b w:val="0"/>
          <w:bCs w:val="0"/>
          <w:color w:val="000000" w:themeColor="text1"/>
          <w:sz w:val="32"/>
          <w14:textFill>
            <w14:solidFill>
              <w14:schemeClr w14:val="tx1"/>
            </w14:solidFill>
          </w14:textFill>
        </w:rPr>
        <w:t>为深入贯彻落实中央与北京市关于全面深化新时代教师队伍建设改革政策要求，进一步深化人才体制机制改革，深入实施人才强院战略，结合《北京教育学院“十四五”时期发展规划（2021年—2025年）》“优教优才”发展工程部署安排，制定本实施方案。</w:t>
      </w:r>
    </w:p>
    <w:p>
      <w:pPr>
        <w:spacing w:line="560" w:lineRule="exact"/>
        <w:ind w:firstLine="640" w:firstLineChars="200"/>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t>一、指导思想</w:t>
      </w:r>
    </w:p>
    <w:p>
      <w:pPr>
        <w:spacing w:line="560" w:lineRule="exact"/>
        <w:ind w:firstLine="640" w:firstLineChars="200"/>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仿宋_GB2312" w:cs="Times New Roman"/>
          <w:b w:val="0"/>
          <w:bCs w:val="0"/>
          <w:color w:val="000000" w:themeColor="text1"/>
          <w:sz w:val="32"/>
          <w14:textFill>
            <w14:solidFill>
              <w14:schemeClr w14:val="tx1"/>
            </w14:solidFill>
          </w14:textFill>
        </w:rPr>
        <w:t xml:space="preserve">坚持以习近平新时代中国特色社会主义思想为指导，贯彻落实党的二十大关于教育与人才强国战略重要精神，落实立德树人根本任务，以培养德智体美劳全面发展的社会主义建设者和接班人为教师队伍建设的出发点和落脚点，以强化教师思想政治素质和师德师风建设为首要任务，以提升教师专业素质能力为关键，优化完善人才服务管理体系，倾心引才、悉心育才、精心用才，着力建设一支为首都基础教育高质量发展提供专业支撑的高素质专业化创新型教师队伍。 </w:t>
      </w:r>
    </w:p>
    <w:p>
      <w:pPr>
        <w:spacing w:line="560" w:lineRule="exact"/>
        <w:ind w:firstLine="640" w:firstLineChars="200"/>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pPr>
      <w:bookmarkStart w:id="3" w:name="_Hlk80474492"/>
      <w:r>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t>二、实施原则</w:t>
      </w:r>
    </w:p>
    <w:p>
      <w:pPr>
        <w:spacing w:line="560" w:lineRule="exact"/>
        <w:ind w:firstLine="640" w:firstLineChars="200"/>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楷体_GB2312" w:cs="Times New Roman"/>
          <w:b w:val="0"/>
          <w:bCs w:val="0"/>
          <w:color w:val="000000" w:themeColor="text1"/>
          <w:sz w:val="32"/>
          <w14:textFill>
            <w14:solidFill>
              <w14:schemeClr w14:val="tx1"/>
            </w14:solidFill>
          </w14:textFill>
        </w:rPr>
        <w:t>（一）坚持正确方向。</w:t>
      </w:r>
      <w:r>
        <w:rPr>
          <w:rFonts w:hint="default" w:ascii="Times New Roman" w:hAnsi="Times New Roman" w:eastAsia="仿宋_GB2312" w:cs="Times New Roman"/>
          <w:b w:val="0"/>
          <w:bCs w:val="0"/>
          <w:color w:val="000000" w:themeColor="text1"/>
          <w:sz w:val="32"/>
          <w14:textFill>
            <w14:solidFill>
              <w14:schemeClr w14:val="tx1"/>
            </w14:solidFill>
          </w14:textFill>
        </w:rPr>
        <w:t xml:space="preserve">引导人才队伍爱党报国、敬业奉献、服务人民，建设一支政治坚定、师德高尚、专业过硬、潜心育人的“四有”好教师队伍。 </w:t>
      </w:r>
    </w:p>
    <w:p>
      <w:pPr>
        <w:spacing w:line="560" w:lineRule="exact"/>
        <w:ind w:firstLine="640" w:firstLineChars="200"/>
        <w:rPr>
          <w:rFonts w:hint="default" w:ascii="Times New Roman" w:hAnsi="Times New Roman" w:eastAsia="仿宋" w:cs="Times New Roman"/>
          <w:b w:val="0"/>
          <w:bCs w:val="0"/>
          <w:color w:val="000000" w:themeColor="text1"/>
          <w:sz w:val="32"/>
          <w14:textFill>
            <w14:solidFill>
              <w14:schemeClr w14:val="tx1"/>
            </w14:solidFill>
          </w14:textFill>
        </w:rPr>
      </w:pPr>
      <w:r>
        <w:rPr>
          <w:rFonts w:hint="default" w:ascii="Times New Roman" w:hAnsi="Times New Roman" w:eastAsia="楷体_GB2312" w:cs="Times New Roman"/>
          <w:b w:val="0"/>
          <w:bCs w:val="0"/>
          <w:color w:val="000000" w:themeColor="text1"/>
          <w:sz w:val="32"/>
          <w14:textFill>
            <w14:solidFill>
              <w14:schemeClr w14:val="tx1"/>
            </w14:solidFill>
          </w14:textFill>
        </w:rPr>
        <w:t>（二）聚焦全面发展。</w:t>
      </w:r>
      <w:r>
        <w:rPr>
          <w:rFonts w:hint="default" w:ascii="Times New Roman" w:hAnsi="Times New Roman" w:eastAsia="仿宋_GB2312" w:cs="Times New Roman"/>
          <w:b w:val="0"/>
          <w:bCs w:val="0"/>
          <w:color w:val="000000" w:themeColor="text1"/>
          <w:sz w:val="32"/>
          <w14:textFill>
            <w14:solidFill>
              <w14:schemeClr w14:val="tx1"/>
            </w14:solidFill>
          </w14:textFill>
        </w:rPr>
        <w:t>坚持人才是第一资源，以促进首都基础教育干部教师高水平发展为核心目标，按照教师职业生涯发展需求和路径，为人人成才与共同发展提供平台。</w:t>
      </w:r>
    </w:p>
    <w:p>
      <w:pPr>
        <w:spacing w:line="560" w:lineRule="exact"/>
        <w:ind w:firstLine="640" w:firstLineChars="200"/>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楷体_GB2312" w:cs="Times New Roman"/>
          <w:b w:val="0"/>
          <w:bCs w:val="0"/>
          <w:color w:val="000000" w:themeColor="text1"/>
          <w:sz w:val="32"/>
          <w14:textFill>
            <w14:solidFill>
              <w14:schemeClr w14:val="tx1"/>
            </w14:solidFill>
          </w14:textFill>
        </w:rPr>
        <w:t>（三）立足业绩贡献。</w:t>
      </w:r>
      <w:r>
        <w:rPr>
          <w:rFonts w:hint="default" w:ascii="Times New Roman" w:hAnsi="Times New Roman" w:eastAsia="仿宋_GB2312" w:cs="Times New Roman"/>
          <w:b w:val="0"/>
          <w:bCs w:val="0"/>
          <w:color w:val="000000" w:themeColor="text1"/>
          <w:sz w:val="32"/>
          <w14:textFill>
            <w14:solidFill>
              <w14:schemeClr w14:val="tx1"/>
            </w14:solidFill>
          </w14:textFill>
        </w:rPr>
        <w:t>用好用活各类人才，激励教师比师德师风，比岗位贡献，将精力和智慧用于促进首都基础教育干部教师专业成长。</w:t>
      </w:r>
    </w:p>
    <w:p>
      <w:pPr>
        <w:spacing w:line="560" w:lineRule="exact"/>
        <w:ind w:firstLine="640" w:firstLineChars="200"/>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楷体_GB2312" w:cs="Times New Roman"/>
          <w:b w:val="0"/>
          <w:bCs w:val="0"/>
          <w:color w:val="000000" w:themeColor="text1"/>
          <w:sz w:val="32"/>
          <w14:textFill>
            <w14:solidFill>
              <w14:schemeClr w14:val="tx1"/>
            </w14:solidFill>
          </w14:textFill>
        </w:rPr>
        <w:t>（四）精准分步推进。</w:t>
      </w:r>
      <w:r>
        <w:rPr>
          <w:rFonts w:hint="default" w:ascii="Times New Roman" w:hAnsi="Times New Roman" w:eastAsia="仿宋_GB2312" w:cs="Times New Roman"/>
          <w:b w:val="0"/>
          <w:bCs w:val="0"/>
          <w:color w:val="000000" w:themeColor="text1"/>
          <w:sz w:val="32"/>
          <w14:textFill>
            <w14:solidFill>
              <w14:schemeClr w14:val="tx1"/>
            </w14:solidFill>
          </w14:textFill>
        </w:rPr>
        <w:t>坚持选、用、育、评、奖一体化原则，按照分类施策、分期推进、重质求效的思路，扎实推动人才队伍建设取得新成效。</w:t>
      </w:r>
    </w:p>
    <w:bookmarkEnd w:id="3"/>
    <w:p>
      <w:pPr>
        <w:spacing w:line="560" w:lineRule="exact"/>
        <w:ind w:firstLine="640" w:firstLineChars="200"/>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pPr>
      <w:bookmarkStart w:id="4" w:name="_Hlk80228355"/>
      <w:bookmarkStart w:id="5" w:name="_Hlk80462642"/>
      <w:r>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t>三、主要目标</w:t>
      </w:r>
      <w:bookmarkEnd w:id="4"/>
      <w:r>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t xml:space="preserve"> </w:t>
      </w:r>
    </w:p>
    <w:bookmarkEnd w:id="5"/>
    <w:p>
      <w:pPr>
        <w:spacing w:line="560" w:lineRule="exact"/>
        <w:ind w:firstLine="640" w:firstLineChars="200"/>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仿宋_GB2312" w:cs="Times New Roman"/>
          <w:b w:val="0"/>
          <w:bCs w:val="0"/>
          <w:color w:val="000000" w:themeColor="text1"/>
          <w:sz w:val="32"/>
          <w14:textFill>
            <w14:solidFill>
              <w14:schemeClr w14:val="tx1"/>
            </w14:solidFill>
          </w14:textFill>
        </w:rPr>
        <w:t>通过一系列政策支持，</w:t>
      </w:r>
      <w:bookmarkStart w:id="6" w:name="_Hlk118367330"/>
      <w:r>
        <w:rPr>
          <w:rFonts w:hint="default" w:ascii="Times New Roman" w:hAnsi="Times New Roman" w:eastAsia="仿宋_GB2312" w:cs="Times New Roman"/>
          <w:b w:val="0"/>
          <w:bCs w:val="0"/>
          <w:color w:val="000000" w:themeColor="text1"/>
          <w:sz w:val="32"/>
          <w14:textFill>
            <w14:solidFill>
              <w14:schemeClr w14:val="tx1"/>
            </w14:solidFill>
          </w14:textFill>
        </w:rPr>
        <w:t>人才队伍发展</w:t>
      </w:r>
      <w:bookmarkEnd w:id="6"/>
      <w:r>
        <w:rPr>
          <w:rFonts w:hint="default" w:ascii="Times New Roman" w:hAnsi="Times New Roman" w:eastAsia="仿宋_GB2312" w:cs="Times New Roman"/>
          <w:b w:val="0"/>
          <w:bCs w:val="0"/>
          <w:color w:val="000000" w:themeColor="text1"/>
          <w:sz w:val="32"/>
          <w14:textFill>
            <w14:solidFill>
              <w14:schemeClr w14:val="tx1"/>
            </w14:solidFill>
          </w14:textFill>
        </w:rPr>
        <w:t>支持机制更加健全，人才队伍管理评价制度更加科学，人才队伍待遇保障机制更加完善，人才队伍规模结构更加合理，</w:t>
      </w:r>
      <w:bookmarkStart w:id="7" w:name="_Hlk117457106"/>
      <w:r>
        <w:rPr>
          <w:rFonts w:hint="default" w:ascii="Times New Roman" w:hAnsi="Times New Roman" w:eastAsia="仿宋_GB2312" w:cs="Times New Roman"/>
          <w:b w:val="0"/>
          <w:bCs w:val="0"/>
          <w:color w:val="000000" w:themeColor="text1"/>
          <w:sz w:val="32"/>
          <w14:textFill>
            <w14:solidFill>
              <w14:schemeClr w14:val="tx1"/>
            </w14:solidFill>
          </w14:textFill>
        </w:rPr>
        <w:t>人才队伍</w:t>
      </w:r>
      <w:bookmarkEnd w:id="7"/>
      <w:r>
        <w:rPr>
          <w:rFonts w:hint="default" w:ascii="Times New Roman" w:hAnsi="Times New Roman" w:eastAsia="仿宋_GB2312" w:cs="Times New Roman"/>
          <w:b w:val="0"/>
          <w:bCs w:val="0"/>
          <w:color w:val="000000" w:themeColor="text1"/>
          <w:sz w:val="32"/>
          <w14:textFill>
            <w14:solidFill>
              <w14:schemeClr w14:val="tx1"/>
            </w14:solidFill>
          </w14:textFill>
        </w:rPr>
        <w:t xml:space="preserve">思想政治素质、立德树人水平、教书育人与创新能力得到明显提升，打造一支高素质专业化创新型教师队伍，让广大教师在岗位上有幸福感，在事业上有成就感，在社会上有荣誉感，为服务首都基础教育高质量发展提供坚强的师资保障。 </w:t>
      </w:r>
    </w:p>
    <w:p>
      <w:pPr>
        <w:spacing w:line="560" w:lineRule="exact"/>
        <w:ind w:firstLine="640" w:firstLineChars="200"/>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pPr>
      <w:bookmarkStart w:id="8" w:name="_Hlk80559345"/>
      <w:r>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t>四、重点任务</w:t>
      </w:r>
    </w:p>
    <w:bookmarkEnd w:id="8"/>
    <w:p>
      <w:pPr>
        <w:spacing w:line="560" w:lineRule="exact"/>
        <w:ind w:firstLine="640" w:firstLineChars="200"/>
        <w:rPr>
          <w:rFonts w:hint="default" w:ascii="Times New Roman" w:hAnsi="Times New Roman" w:eastAsia="楷体_GB2312" w:cs="Times New Roman"/>
          <w:b w:val="0"/>
          <w:bCs w:val="0"/>
          <w:color w:val="000000" w:themeColor="text1"/>
          <w:sz w:val="32"/>
          <w14:textFill>
            <w14:solidFill>
              <w14:schemeClr w14:val="tx1"/>
            </w14:solidFill>
          </w14:textFill>
        </w:rPr>
      </w:pPr>
      <w:bookmarkStart w:id="9" w:name="_Hlk80485958"/>
      <w:r>
        <w:rPr>
          <w:rFonts w:hint="default" w:ascii="Times New Roman" w:hAnsi="Times New Roman" w:eastAsia="楷体_GB2312" w:cs="Times New Roman"/>
          <w:b w:val="0"/>
          <w:bCs w:val="0"/>
          <w:color w:val="000000" w:themeColor="text1"/>
          <w:sz w:val="32"/>
          <w14:textFill>
            <w14:solidFill>
              <w14:schemeClr w14:val="tx1"/>
            </w14:solidFill>
          </w14:textFill>
        </w:rPr>
        <w:t>（一）凝心铸魂行动</w:t>
      </w:r>
    </w:p>
    <w:p>
      <w:pPr>
        <w:spacing w:line="560" w:lineRule="exact"/>
        <w:ind w:firstLine="640" w:firstLineChars="200"/>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仿宋_GB2312" w:cs="Times New Roman"/>
          <w:b w:val="0"/>
          <w:bCs w:val="0"/>
          <w:color w:val="000000" w:themeColor="text1"/>
          <w:sz w:val="32"/>
          <w14:textFill>
            <w14:solidFill>
              <w14:schemeClr w14:val="tx1"/>
            </w14:solidFill>
          </w14:textFill>
        </w:rPr>
        <w:t>坚持把师德师风建设作为衡量人才队伍素质的第一标准，抓紧抓实教职工思想政治素质与师德师风建设，建立健全教育、考核、奖励、监督、惩处等制度，持续开展师德师风和思想政治专项检查，坚定落实“师德一票否决制”；把握好高线引领和底线要求、严管和厚爱的关系，坚持“四个相统一”，落实新时代教师职业行为“十项准则”，健全师德师风长效机制；充分利用京内外优质教育资源，建立一批师德师风建设实践培育基地；</w:t>
      </w:r>
      <w:bookmarkStart w:id="10" w:name="_Hlk80484330"/>
      <w:r>
        <w:rPr>
          <w:rFonts w:hint="default" w:ascii="Times New Roman" w:hAnsi="Times New Roman" w:eastAsia="仿宋_GB2312" w:cs="Times New Roman"/>
          <w:b w:val="0"/>
          <w:bCs w:val="0"/>
          <w:color w:val="000000" w:themeColor="text1"/>
          <w:sz w:val="32"/>
          <w14:textFill>
            <w14:solidFill>
              <w14:schemeClr w14:val="tx1"/>
            </w14:solidFill>
          </w14:textFill>
        </w:rPr>
        <w:t>守好课程建设主战场和课堂教学主渠道，全面推进思政课程创新与课程思政建设，助力教师成为党的教育方针的坚定执行者、先进思想文化的有力传播者与基础教育干部教师专业成长的贴心指导者。</w:t>
      </w:r>
    </w:p>
    <w:p>
      <w:pPr>
        <w:spacing w:line="560" w:lineRule="exact"/>
        <w:ind w:firstLine="640" w:firstLineChars="200"/>
        <w:rPr>
          <w:rFonts w:hint="default" w:ascii="Times New Roman" w:hAnsi="Times New Roman" w:eastAsia="楷体_GB2312" w:cs="Times New Roman"/>
          <w:b w:val="0"/>
          <w:bCs w:val="0"/>
          <w:color w:val="000000" w:themeColor="text1"/>
          <w:sz w:val="32"/>
          <w14:textFill>
            <w14:solidFill>
              <w14:schemeClr w14:val="tx1"/>
            </w14:solidFill>
          </w14:textFill>
        </w:rPr>
      </w:pPr>
      <w:r>
        <w:rPr>
          <w:rFonts w:hint="default" w:ascii="Times New Roman" w:hAnsi="Times New Roman" w:eastAsia="楷体_GB2312" w:cs="Times New Roman"/>
          <w:b w:val="0"/>
          <w:bCs w:val="0"/>
          <w:color w:val="000000" w:themeColor="text1"/>
          <w:sz w:val="32"/>
          <w14:textFill>
            <w14:solidFill>
              <w14:schemeClr w14:val="tx1"/>
            </w14:solidFill>
          </w14:textFill>
        </w:rPr>
        <w:t>（二）筑基赋能行动</w:t>
      </w:r>
    </w:p>
    <w:p>
      <w:pPr>
        <w:spacing w:line="560" w:lineRule="exact"/>
        <w:ind w:firstLine="640" w:firstLineChars="200"/>
        <w:rPr>
          <w:rFonts w:hint="default" w:ascii="Times New Roman" w:hAnsi="Times New Roman" w:eastAsia="仿宋_GB2312" w:cs="Times New Roman"/>
          <w:b w:val="0"/>
          <w:bCs w:val="0"/>
          <w:color w:val="000000" w:themeColor="text1"/>
          <w:sz w:val="32"/>
          <w14:textFill>
            <w14:solidFill>
              <w14:schemeClr w14:val="tx1"/>
            </w14:solidFill>
          </w14:textFill>
        </w:rPr>
      </w:pPr>
      <w:bookmarkStart w:id="11" w:name="_Hlk80558267"/>
      <w:r>
        <w:rPr>
          <w:rFonts w:hint="default" w:ascii="Times New Roman" w:hAnsi="Times New Roman" w:eastAsia="仿宋_GB2312" w:cs="Times New Roman"/>
          <w:b w:val="0"/>
          <w:bCs w:val="0"/>
          <w:color w:val="000000" w:themeColor="text1"/>
          <w:sz w:val="32"/>
          <w14:textFill>
            <w14:solidFill>
              <w14:schemeClr w14:val="tx1"/>
            </w14:solidFill>
          </w14:textFill>
        </w:rPr>
        <w:t>1.针对新入职教师实施三年“三步走”培养计划，筑牢其投身学院事业发展的根基。</w:t>
      </w:r>
      <w:bookmarkStart w:id="12" w:name="_Hlk80486909"/>
      <w:r>
        <w:rPr>
          <w:rFonts w:hint="default" w:ascii="Times New Roman" w:hAnsi="Times New Roman" w:eastAsia="仿宋_GB2312" w:cs="Times New Roman"/>
          <w:b w:val="0"/>
          <w:bCs w:val="0"/>
          <w:color w:val="000000" w:themeColor="text1"/>
          <w:sz w:val="32"/>
          <w14:textFill>
            <w14:solidFill>
              <w14:schemeClr w14:val="tx1"/>
            </w14:solidFill>
          </w14:textFill>
        </w:rPr>
        <w:t>入职第一年，以增强职业认知度和学院认同感为导向，在党政管理岗位进行锻炼，全面了解学院业务与管理情况；入职第二年，以增加教学实践经验和促进专业转型为导向，在优质中小幼基地进行教育教学实习，实习期间配备“双导师”，实践导师由实习学校市级学科带头人以上的优秀教师担任，理论导师由新教师所在二级学院教授或资深副教授担任，实习学校由学院和二级学院统筹安排；完善新任教师教学实习管理办法，将新任教师教学实习作为刚性要求纳入考核晋升体系；入职第三年，以促进专业转型与熟悉干部教师培训要求与规律为导向，采用“师徒制”方式，在导师带领下承担培训项目相关管理角色，学习项目设计，进行课程开发，掌握管理方法，逐步成长为能够独立承担培训项目的培训师。</w:t>
      </w:r>
    </w:p>
    <w:bookmarkEnd w:id="11"/>
    <w:bookmarkEnd w:id="12"/>
    <w:p>
      <w:pPr>
        <w:spacing w:line="560" w:lineRule="exact"/>
        <w:ind w:left="-142" w:firstLine="780" w:firstLineChars="244"/>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仿宋_GB2312" w:cs="Times New Roman"/>
          <w:b w:val="0"/>
          <w:bCs w:val="0"/>
          <w:color w:val="000000" w:themeColor="text1"/>
          <w:sz w:val="32"/>
          <w14:textFill>
            <w14:solidFill>
              <w14:schemeClr w14:val="tx1"/>
            </w14:solidFill>
          </w14:textFill>
        </w:rPr>
        <w:t>2.针对全体教师，特别是进入成熟期的教师，以促进其终身发展为指向，提供多样化专业培养与支持。以教学系室与非实体性学术组织为发展平台，坚持岗位练兵，坚持研训一体，鼓励其在专长领域促进科研与教学相互转化；用好用足国家政策，通过国内外访学或合作开展科研课题，支持每位教师形成优势专业方向；对接国家与市级高校教师评优、教学竞赛等项目，设置相匹配的院级评优与竞赛等项目，鼓励重点学科、重要专业领域、重大攻关项目等组织召开国际与国内学术会议；对接国家与市级拔尖领军人才培养选拔通道，有序培育高端人才梯队，推动学院拔尖领军人才队伍形成规模效应；适时成立教授工作室，支持教授带队伍带学科，促进教授成为有影响力、有话语权的专业领军人才，并在学院治学治教中发挥充分的引领带头作用；推动“师徒制”常态化，为每位教授配备1-3位青年教师，支持其在持续指导青年教师发展中得到更好的自我成长，并作为教授岗位考核和专业技术职务晋级的重要指标。</w:t>
      </w:r>
    </w:p>
    <w:p>
      <w:pPr>
        <w:spacing w:line="560" w:lineRule="exact"/>
        <w:ind w:left="-142" w:firstLine="780" w:firstLineChars="244"/>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仿宋_GB2312" w:cs="Times New Roman"/>
          <w:b w:val="0"/>
          <w:bCs w:val="0"/>
          <w:color w:val="000000" w:themeColor="text1"/>
          <w:sz w:val="32"/>
          <w14:textFill>
            <w14:solidFill>
              <w14:schemeClr w14:val="tx1"/>
            </w14:solidFill>
          </w14:textFill>
        </w:rPr>
        <w:t>3.针对管理人员队伍，举办党政管理干部工作能力提升研修班，通过开设管理</w:t>
      </w:r>
      <w:r>
        <w:rPr>
          <w:rFonts w:hint="default" w:ascii="Times New Roman" w:hAnsi="Times New Roman" w:eastAsia="仿宋_GB2312" w:cs="Times New Roman"/>
          <w:b w:val="0"/>
          <w:bCs w:val="0"/>
          <w:color w:val="000000" w:themeColor="text1"/>
          <w:sz w:val="32"/>
          <w:lang w:val="en-US" w:eastAsia="zh-CN"/>
          <w14:textFill>
            <w14:solidFill>
              <w14:schemeClr w14:val="tx1"/>
            </w14:solidFill>
          </w14:textFill>
        </w:rPr>
        <w:t>干部</w:t>
      </w:r>
      <w:r>
        <w:rPr>
          <w:rFonts w:hint="default" w:ascii="Times New Roman" w:hAnsi="Times New Roman" w:eastAsia="仿宋_GB2312" w:cs="Times New Roman"/>
          <w:b w:val="0"/>
          <w:bCs w:val="0"/>
          <w:color w:val="000000" w:themeColor="text1"/>
          <w:sz w:val="32"/>
          <w14:textFill>
            <w14:solidFill>
              <w14:schemeClr w14:val="tx1"/>
            </w14:solidFill>
          </w14:textFill>
        </w:rPr>
        <w:t>职业生涯规划、公文写作、校园新闻宣传实务、沟通能力提升等相关课程，全方位提升党政管理干部的服务意识与能力素养。</w:t>
      </w:r>
    </w:p>
    <w:p>
      <w:pPr>
        <w:spacing w:line="560" w:lineRule="exact"/>
        <w:ind w:firstLine="640" w:firstLineChars="200"/>
        <w:rPr>
          <w:rFonts w:hint="default" w:ascii="Times New Roman" w:hAnsi="Times New Roman" w:eastAsia="楷体_GB2312" w:cs="Times New Roman"/>
          <w:b w:val="0"/>
          <w:bCs w:val="0"/>
          <w:color w:val="000000" w:themeColor="text1"/>
          <w:sz w:val="32"/>
          <w14:textFill>
            <w14:solidFill>
              <w14:schemeClr w14:val="tx1"/>
            </w14:solidFill>
          </w14:textFill>
        </w:rPr>
      </w:pPr>
      <w:r>
        <w:rPr>
          <w:rFonts w:hint="default" w:ascii="Times New Roman" w:hAnsi="Times New Roman" w:eastAsia="楷体_GB2312" w:cs="Times New Roman"/>
          <w:b w:val="0"/>
          <w:bCs w:val="0"/>
          <w:color w:val="000000" w:themeColor="text1"/>
          <w:sz w:val="32"/>
          <w14:textFill>
            <w14:solidFill>
              <w14:schemeClr w14:val="tx1"/>
            </w14:solidFill>
          </w14:textFill>
        </w:rPr>
        <w:t>（三）引才聚才行动</w:t>
      </w:r>
    </w:p>
    <w:p>
      <w:pPr>
        <w:spacing w:line="560" w:lineRule="exact"/>
        <w:ind w:firstLine="640" w:firstLineChars="200"/>
        <w:rPr>
          <w:rFonts w:hint="default" w:ascii="Times New Roman" w:hAnsi="Times New Roman" w:eastAsia="仿宋_GB2312" w:cs="Times New Roman"/>
          <w:b w:val="0"/>
          <w:bCs w:val="0"/>
          <w:color w:val="000000" w:themeColor="text1"/>
          <w:sz w:val="32"/>
          <w14:textFill>
            <w14:solidFill>
              <w14:schemeClr w14:val="tx1"/>
            </w14:solidFill>
          </w14:textFill>
        </w:rPr>
      </w:pPr>
      <w:r>
        <w:rPr>
          <w:rFonts w:hint="default" w:ascii="Times New Roman" w:hAnsi="Times New Roman" w:eastAsia="仿宋_GB2312" w:cs="Times New Roman"/>
          <w:b w:val="0"/>
          <w:bCs w:val="0"/>
          <w:color w:val="000000" w:themeColor="text1"/>
          <w:sz w:val="32"/>
          <w14:textFill>
            <w14:solidFill>
              <w14:schemeClr w14:val="tx1"/>
            </w14:solidFill>
          </w14:textFill>
        </w:rPr>
        <w:t>坚持引聘并举，实施开放性的师资队伍结构调整与优化政策。加强教师队伍建设顶层设计，充分考虑专业结构、职称结构、年龄结构和学缘结构等要素，优化应届毕业生招聘，出台优秀人才引进政策，加强一线教学名师和优秀专家引进；加强兼职教师队伍建设，按照重点学科、重要专业领域、重大攻关项目建设要求，每个领域聘请1-3位在本领域有影响力的知名专家，为兼职教师提供有一定竞争力的待遇；实施“银龄计划”，聘请离退休老专家老干部在资源开辟、规划设计、团队建设等方面，帮助青年教师与党政管理干部全方位成长；推动“安居计划”，为新入职青年教师提供过渡性住房并依法依规管理，使其能够安心投入事业发展。</w:t>
      </w:r>
    </w:p>
    <w:bookmarkEnd w:id="9"/>
    <w:bookmarkEnd w:id="10"/>
    <w:p>
      <w:pPr>
        <w:spacing w:line="560" w:lineRule="exact"/>
        <w:ind w:firstLine="640" w:firstLineChars="200"/>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pPr>
      <w:r>
        <w:rPr>
          <w:rFonts w:hint="default" w:ascii="Times New Roman" w:hAnsi="Times New Roman" w:eastAsia="黑体" w:cs="Times New Roman"/>
          <w:b w:val="0"/>
          <w:bCs w:val="0"/>
          <w:color w:val="000000" w:themeColor="text1"/>
          <w:sz w:val="32"/>
          <w:szCs w:val="32"/>
          <w:lang w:eastAsia="zh-Hans"/>
          <w14:textFill>
            <w14:solidFill>
              <w14:schemeClr w14:val="tx1"/>
            </w14:solidFill>
          </w14:textFill>
        </w:rPr>
        <w:t>五、保障措施</w:t>
      </w:r>
    </w:p>
    <w:p>
      <w:pPr>
        <w:pStyle w:val="20"/>
        <w:spacing w:before="0" w:beforeAutospacing="0" w:after="0" w:afterAutospacing="0" w:line="560" w:lineRule="exact"/>
        <w:ind w:firstLine="640" w:firstLineChars="200"/>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t>（一）加强统一领导。坚持党管人才原则，强化学院主体责任，统筹协调相关部门各负其责，协同配合，有序推进</w:t>
      </w:r>
      <w:bookmarkStart w:id="13" w:name="_Hlk110539181"/>
      <w:r>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t>“优教优才”发展工程</w:t>
      </w:r>
      <w:bookmarkEnd w:id="13"/>
      <w:r>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t>组织实施，把“优教优才”发展工程作为学院全面深化新时代教师队伍建设改革的重大举措。</w:t>
      </w:r>
    </w:p>
    <w:p>
      <w:pPr>
        <w:pStyle w:val="20"/>
        <w:spacing w:before="0" w:beforeAutospacing="0" w:after="0" w:afterAutospacing="0" w:line="560" w:lineRule="exact"/>
        <w:ind w:firstLine="640" w:firstLineChars="200"/>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t>（二）加强制度建设。加强促进教师队伍发展的制度建设，创新和完善教师遴选引进、职称评聘、绩效考核、发展支持等系列制度，形成公平竞争、能上能下、能进能出的人才聘用机制。</w:t>
      </w:r>
    </w:p>
    <w:p>
      <w:pPr>
        <w:pStyle w:val="20"/>
        <w:spacing w:before="0" w:beforeAutospacing="0" w:after="0" w:afterAutospacing="0" w:line="560" w:lineRule="exact"/>
        <w:ind w:firstLine="640" w:firstLineChars="200"/>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t>（三）加强基地建设。开展与国内外高校、科研机构、全市重点优质校的密切合作，建立教师教育教学实习、科研实验、实践转化、合作培训等各类基地，为教师更好地从事教学科研、实践锻炼和专业提升提供充分条件。</w:t>
      </w:r>
    </w:p>
    <w:p>
      <w:pPr>
        <w:pStyle w:val="20"/>
        <w:spacing w:before="0" w:beforeAutospacing="0" w:after="0" w:afterAutospacing="0" w:line="560" w:lineRule="exact"/>
        <w:ind w:firstLine="640" w:firstLineChars="200"/>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pPr>
      <w:r>
        <w:rPr>
          <w:rFonts w:hint="default" w:ascii="Times New Roman" w:hAnsi="Times New Roman" w:eastAsia="仿宋_GB2312" w:cs="Times New Roman"/>
          <w:b w:val="0"/>
          <w:bCs w:val="0"/>
          <w:color w:val="000000" w:themeColor="text1"/>
          <w:kern w:val="2"/>
          <w:sz w:val="32"/>
          <w:szCs w:val="22"/>
          <w14:textFill>
            <w14:solidFill>
              <w14:schemeClr w14:val="tx1"/>
            </w14:solidFill>
          </w14:textFill>
        </w:rPr>
        <w:t>（四）加强经费支持。优化经费投入结构，优先支持教师队伍发展，加大访学交流、培训创新和科研活动的经费投入，确保教师专业提升有保障。优化绩效分配方案，按照多劳多得、优劳优酬的原则，保障各类人才合理待遇。</w:t>
      </w:r>
    </w:p>
    <w:p>
      <w:pPr>
        <w:pStyle w:val="20"/>
        <w:spacing w:before="0" w:beforeAutospacing="0" w:after="0" w:afterAutospacing="0" w:line="560" w:lineRule="exact"/>
        <w:ind w:firstLine="640" w:firstLineChars="200"/>
        <w:rPr>
          <w:rFonts w:hint="default" w:ascii="Times New Roman" w:hAnsi="Times New Roman" w:eastAsia="黑体" w:cs="Times New Roman"/>
          <w:b w:val="0"/>
          <w:bCs w:val="0"/>
          <w:color w:val="000000" w:themeColor="text1"/>
          <w:kern w:val="2"/>
          <w:sz w:val="32"/>
          <w:szCs w:val="22"/>
          <w14:textFill>
            <w14:solidFill>
              <w14:schemeClr w14:val="tx1"/>
            </w14:solidFill>
          </w14:textFill>
        </w:rPr>
      </w:pPr>
    </w:p>
    <w:p>
      <w:pPr>
        <w:pStyle w:val="20"/>
        <w:spacing w:before="0" w:beforeAutospacing="0" w:after="0" w:afterAutospacing="0" w:line="560" w:lineRule="exact"/>
        <w:ind w:firstLine="640" w:firstLineChars="200"/>
        <w:rPr>
          <w:rFonts w:hint="default" w:ascii="Times New Roman" w:hAnsi="Times New Roman" w:eastAsia="仿宋" w:cs="Times New Roman"/>
          <w:b w:val="0"/>
          <w:bCs w:val="0"/>
          <w:color w:val="000000" w:themeColor="text1"/>
          <w:kern w:val="2"/>
          <w:sz w:val="32"/>
          <w:szCs w:val="22"/>
          <w14:textFill>
            <w14:solidFill>
              <w14:schemeClr w14:val="tx1"/>
            </w14:solidFill>
          </w14:textFill>
        </w:rPr>
      </w:pPr>
      <w:r>
        <w:rPr>
          <w:rFonts w:hint="default" w:ascii="Times New Roman" w:hAnsi="Times New Roman" w:eastAsia="仿宋" w:cs="Times New Roman"/>
          <w:b w:val="0"/>
          <w:bCs w:val="0"/>
          <w:color w:val="000000" w:themeColor="text1"/>
          <w:kern w:val="2"/>
          <w:sz w:val="32"/>
          <w:szCs w:val="22"/>
          <w14:textFill>
            <w14:solidFill>
              <w14:schemeClr w14:val="tx1"/>
            </w14:solidFill>
          </w14:textFill>
        </w:rPr>
        <w:t>附件</w:t>
      </w:r>
      <w:r>
        <w:rPr>
          <w:rFonts w:hint="default" w:ascii="Times New Roman" w:hAnsi="Times New Roman" w:eastAsia="仿宋" w:cs="Times New Roman"/>
          <w:b w:val="0"/>
          <w:bCs w:val="0"/>
          <w:color w:val="000000" w:themeColor="text1"/>
          <w:kern w:val="2"/>
          <w:sz w:val="32"/>
          <w:szCs w:val="22"/>
          <w:lang w:eastAsia="zh-CN"/>
          <w14:textFill>
            <w14:solidFill>
              <w14:schemeClr w14:val="tx1"/>
            </w14:solidFill>
          </w14:textFill>
        </w:rPr>
        <w:t>：</w:t>
      </w:r>
      <w:r>
        <w:rPr>
          <w:rFonts w:hint="default" w:ascii="Times New Roman" w:hAnsi="Times New Roman" w:eastAsia="仿宋" w:cs="Times New Roman"/>
          <w:b w:val="0"/>
          <w:bCs w:val="0"/>
          <w:color w:val="000000" w:themeColor="text1"/>
          <w:kern w:val="2"/>
          <w:sz w:val="32"/>
          <w:szCs w:val="22"/>
          <w14:textFill>
            <w14:solidFill>
              <w14:schemeClr w14:val="tx1"/>
            </w14:solidFill>
          </w14:textFill>
        </w:rPr>
        <w:t>北京教育学院“优教优才”发展工程重点任务安排（2022--2025年）</w:t>
      </w:r>
    </w:p>
    <w:p>
      <w:pPr>
        <w:widowControl/>
        <w:spacing w:line="560" w:lineRule="exact"/>
        <w:jc w:val="left"/>
        <w:rPr>
          <w:rFonts w:hint="default" w:ascii="Times New Roman" w:hAnsi="Times New Roman" w:eastAsia="仿宋" w:cs="Times New Roman"/>
          <w:b w:val="0"/>
          <w:bCs w:val="0"/>
          <w:color w:val="000000" w:themeColor="text1"/>
          <w:sz w:val="32"/>
          <w14:textFill>
            <w14:solidFill>
              <w14:schemeClr w14:val="tx1"/>
            </w14:solidFill>
          </w14:textFill>
        </w:rPr>
        <w:sectPr>
          <w:footerReference r:id="rId3" w:type="default"/>
          <w:pgSz w:w="11906" w:h="16838"/>
          <w:pgMar w:top="1440" w:right="1797" w:bottom="1440" w:left="1797" w:header="851" w:footer="992" w:gutter="0"/>
          <w:pgNumType w:fmt="decimal"/>
          <w:cols w:space="425" w:num="1"/>
          <w:docGrid w:type="linesAndChars" w:linePitch="312" w:charSpace="0"/>
        </w:sectPr>
      </w:pPr>
    </w:p>
    <w:p>
      <w:pPr>
        <w:widowControl/>
        <w:spacing w:line="560" w:lineRule="exact"/>
        <w:jc w:val="left"/>
        <w:rPr>
          <w:rFonts w:hint="default" w:ascii="Times New Roman" w:hAnsi="Times New Roman" w:eastAsia="黑体" w:cs="Times New Roman"/>
          <w:b w:val="0"/>
          <w:bCs w:val="0"/>
          <w:color w:val="000000" w:themeColor="text1"/>
          <w:kern w:val="2"/>
          <w:sz w:val="32"/>
          <w:szCs w:val="22"/>
          <w14:textFill>
            <w14:solidFill>
              <w14:schemeClr w14:val="tx1"/>
            </w14:solidFill>
          </w14:textFill>
        </w:rPr>
      </w:pPr>
      <w:r>
        <w:rPr>
          <w:rFonts w:hint="default" w:ascii="Times New Roman" w:hAnsi="Times New Roman" w:eastAsia="黑体" w:cs="Times New Roman"/>
          <w:b w:val="0"/>
          <w:bCs w:val="0"/>
          <w:color w:val="000000" w:themeColor="text1"/>
          <w:kern w:val="2"/>
          <w:sz w:val="32"/>
          <w:szCs w:val="22"/>
          <w14:textFill>
            <w14:solidFill>
              <w14:schemeClr w14:val="tx1"/>
            </w14:solidFill>
          </w14:textFill>
        </w:rPr>
        <w:t>附件</w:t>
      </w:r>
    </w:p>
    <w:p>
      <w:pPr>
        <w:widowControl/>
        <w:spacing w:line="560" w:lineRule="exact"/>
        <w:jc w:val="left"/>
        <w:rPr>
          <w:rFonts w:hint="default" w:ascii="Times New Roman" w:hAnsi="Times New Roman" w:eastAsia="黑体" w:cs="Times New Roman"/>
          <w:b w:val="0"/>
          <w:bCs w:val="0"/>
          <w:color w:val="000000" w:themeColor="text1"/>
          <w:kern w:val="2"/>
          <w:sz w:val="32"/>
          <w:szCs w:val="22"/>
          <w14:textFill>
            <w14:solidFill>
              <w14:schemeClr w14:val="tx1"/>
            </w14:solidFill>
          </w14:textFill>
        </w:rPr>
      </w:pPr>
    </w:p>
    <w:p>
      <w:pPr>
        <w:widowControl/>
        <w:spacing w:line="560" w:lineRule="exact"/>
        <w:jc w:val="cente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pPr>
      <w:r>
        <w:rPr>
          <w:rFonts w:hint="default" w:ascii="Times New Roman" w:hAnsi="Times New Roman" w:eastAsia="方正小标宋简体" w:cs="Times New Roman"/>
          <w:b w:val="0"/>
          <w:bCs w:val="0"/>
          <w:color w:val="000000" w:themeColor="text1"/>
          <w:sz w:val="44"/>
          <w:szCs w:val="44"/>
          <w14:textFill>
            <w14:solidFill>
              <w14:schemeClr w14:val="tx1"/>
            </w14:solidFill>
          </w14:textFill>
        </w:rPr>
        <w:t>北京教育学院“优教优才”发展工程重点任务安排（2022--2025年）</w:t>
      </w:r>
    </w:p>
    <w:tbl>
      <w:tblPr>
        <w:tblStyle w:val="22"/>
        <w:tblW w:w="15021"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8"/>
        <w:gridCol w:w="1277"/>
        <w:gridCol w:w="456"/>
        <w:gridCol w:w="5637"/>
        <w:gridCol w:w="1701"/>
        <w:gridCol w:w="2577"/>
        <w:gridCol w:w="2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blHeader/>
        </w:trPr>
        <w:tc>
          <w:tcPr>
            <w:tcW w:w="1278"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任务类型</w:t>
            </w:r>
          </w:p>
        </w:tc>
        <w:tc>
          <w:tcPr>
            <w:tcW w:w="12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任务名称</w:t>
            </w:r>
          </w:p>
        </w:tc>
        <w:tc>
          <w:tcPr>
            <w:tcW w:w="6093" w:type="dxa"/>
            <w:gridSpan w:val="2"/>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重点工作</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完成时限</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责任部门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面向人员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78" w:type="dxa"/>
            <w:vMerge w:val="restart"/>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凝心铸魂行动</w:t>
            </w:r>
          </w:p>
        </w:tc>
        <w:tc>
          <w:tcPr>
            <w:tcW w:w="1277" w:type="dxa"/>
            <w:vMerge w:val="restart"/>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师德师风建设</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举办深入学习贯彻党的二十大精神，习近平新时代中国特色社会主义思想专题研讨班</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按年度开展</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党委组织部、党委宣传部、北京市基础教育党建研究中心、思想政治教育与德育学院</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w:t>
            </w:r>
          </w:p>
        </w:tc>
        <w:tc>
          <w:tcPr>
            <w:tcW w:w="5637" w:type="dxa"/>
            <w:shd w:val="clear" w:color="auto" w:fill="auto"/>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举办课程思政教学改革与创新高级研讨班</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按年度开展</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党委学员工作部/教务处党委教师工作部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3</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院史院情教育周</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每年三月</w:t>
            </w: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br w:type="textWrapping"/>
            </w: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最后一周</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党政办公室</w:t>
            </w:r>
          </w:p>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4</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师德师风教育月</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每年九月</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纪检监察办公室</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78" w:type="dxa"/>
            <w:vMerge w:val="restart"/>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筑基赋能行动</w:t>
            </w:r>
          </w:p>
        </w:tc>
        <w:tc>
          <w:tcPr>
            <w:tcW w:w="1277" w:type="dxa"/>
            <w:vMerge w:val="restart"/>
            <w:shd w:val="clear" w:color="auto" w:fill="auto"/>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岗位练兵</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5</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推进新任教师在管理岗位学习锻炼</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按年度开展</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各部门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新入院专任教师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278" w:type="dxa"/>
            <w:vMerge w:val="continue"/>
            <w:shd w:val="clear" w:color="auto" w:fill="auto"/>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6</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推进新任教师深入中小学进行教育教学实习</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按年度开展</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各二级学院</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新入院专任教师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78" w:type="dxa"/>
            <w:vMerge w:val="continue"/>
            <w:shd w:val="clear" w:color="auto" w:fill="auto"/>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7</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推进青年教师培养导师制实施</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各二级学院</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青年教师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278" w:type="dxa"/>
            <w:vMerge w:val="continue"/>
            <w:shd w:val="clear" w:color="auto" w:fill="auto"/>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8</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推进成立教授工作室</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各二级学院</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1278" w:type="dxa"/>
            <w:vMerge w:val="continue"/>
            <w:shd w:val="clear" w:color="auto" w:fill="auto"/>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shd w:val="clear" w:color="auto" w:fill="auto"/>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进修访学</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9</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推进并实施教职工培训、进修与访学管理办法</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278" w:type="dxa"/>
            <w:vMerge w:val="continue"/>
            <w:shd w:val="clear" w:color="auto" w:fill="auto"/>
            <w:vAlign w:val="center"/>
          </w:tcPr>
          <w:p>
            <w:pPr>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restart"/>
            <w:shd w:val="clear" w:color="auto" w:fill="auto"/>
            <w:vAlign w:val="center"/>
          </w:tcPr>
          <w:p>
            <w:pPr>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院本培训</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10</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推进院内培训课程体系建设</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 w:hRule="atLeast"/>
        </w:trPr>
        <w:tc>
          <w:tcPr>
            <w:tcW w:w="1278" w:type="dxa"/>
            <w:vMerge w:val="continue"/>
            <w:vAlign w:val="center"/>
          </w:tcPr>
          <w:p>
            <w:pPr>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11</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举办党政管理干部工作能力提升研修班</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按年度开展</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党委组织部</w:t>
            </w:r>
            <w:r>
              <w:rPr>
                <w:rFonts w:hint="default" w:ascii="Times New Roman" w:hAnsi="Times New Roman" w:eastAsia="仿宋_GB2312" w:cs="Times New Roman"/>
                <w:b w:val="0"/>
                <w:bCs w:val="0"/>
                <w:color w:val="000000" w:themeColor="text1"/>
                <w:kern w:val="0"/>
                <w:szCs w:val="21"/>
                <w14:textFill>
                  <w14:solidFill>
                    <w14:schemeClr w14:val="tx1"/>
                  </w14:solidFill>
                </w14:textFill>
              </w:rPr>
              <w:br w:type="textWrapping"/>
            </w: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党政管理干部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1278" w:type="dxa"/>
            <w:vMerge w:val="continue"/>
            <w:vAlign w:val="center"/>
          </w:tcPr>
          <w:p>
            <w:pPr>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12</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推进优秀教学科研人员出国研修项目</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　</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　国际合作与交流处</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专任教师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278" w:type="dxa"/>
            <w:vMerge w:val="continue"/>
            <w:vAlign w:val="center"/>
          </w:tcPr>
          <w:p>
            <w:pPr>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13</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举办青年教师基本功展示比赛</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工会、党委教师工作部、党委学员工作部/教务处</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青年教师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trPr>
        <w:tc>
          <w:tcPr>
            <w:tcW w:w="1278" w:type="dxa"/>
            <w:vMerge w:val="continue"/>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14</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举办新入院教师启航成长营</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按年度开展</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新入院教职工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restart"/>
            <w:vAlign w:val="center"/>
          </w:tcPr>
          <w:p>
            <w:pPr>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平台支持</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15</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推进并实施教职工表彰奖励管理办法</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全体教职工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vAlign w:val="center"/>
          </w:tcPr>
          <w:p>
            <w:pPr>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16</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推进学科创新平台建设</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科研处</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vMerge w:val="continue"/>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17</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推进“优师课堂”平台建设</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党委学员工作部/教务处党委教师工作部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专任教师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278" w:type="dxa"/>
            <w:vMerge w:val="restart"/>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引才聚才行动</w:t>
            </w:r>
          </w:p>
        </w:tc>
        <w:tc>
          <w:tcPr>
            <w:tcW w:w="12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人才招聘</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18</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推进优秀硕博士毕业生公开招聘</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按年度开展</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应聘人员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 xml:space="preserve">人才引进 </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19</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推进重点学科、重点专业人才引进</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按年度开展</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高端人才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兼职教师</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修订兼职教师聘用文件并建立兼职教师队伍</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院外兼职教师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银龄计划</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21</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聘请院内外离退休教授与知名专家</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2022-2025年</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离退休知名专家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278" w:type="dxa"/>
            <w:vMerge w:val="continue"/>
            <w:vAlign w:val="center"/>
          </w:tcPr>
          <w:p>
            <w:pPr>
              <w:widowControl/>
              <w:jc w:val="left"/>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p>
        </w:tc>
        <w:tc>
          <w:tcPr>
            <w:tcW w:w="12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安居计划</w:t>
            </w:r>
          </w:p>
        </w:tc>
        <w:tc>
          <w:tcPr>
            <w:tcW w:w="456"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22</w:t>
            </w:r>
          </w:p>
        </w:tc>
        <w:tc>
          <w:tcPr>
            <w:tcW w:w="5637" w:type="dxa"/>
            <w:shd w:val="clear" w:color="auto" w:fill="auto"/>
            <w:vAlign w:val="center"/>
          </w:tcPr>
          <w:p>
            <w:pPr>
              <w:widowControl/>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推进青年教师临时周转房工作</w:t>
            </w:r>
          </w:p>
        </w:tc>
        <w:tc>
          <w:tcPr>
            <w:tcW w:w="1701"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按年度开展</w:t>
            </w:r>
          </w:p>
        </w:tc>
        <w:tc>
          <w:tcPr>
            <w:tcW w:w="2577"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Cs w:val="21"/>
                <w14:textFill>
                  <w14:solidFill>
                    <w14:schemeClr w14:val="tx1"/>
                  </w14:solidFill>
                </w14:textFill>
              </w:rPr>
            </w:pPr>
            <w:r>
              <w:rPr>
                <w:rFonts w:hint="default" w:ascii="Times New Roman" w:hAnsi="Times New Roman" w:eastAsia="仿宋_GB2312" w:cs="Times New Roman"/>
                <w:b w:val="0"/>
                <w:bCs w:val="0"/>
                <w:color w:val="000000" w:themeColor="text1"/>
                <w:kern w:val="0"/>
                <w:szCs w:val="21"/>
                <w14:textFill>
                  <w14:solidFill>
                    <w14:schemeClr w14:val="tx1"/>
                  </w14:solidFill>
                </w14:textFill>
              </w:rPr>
              <w:t>财务资产处、党委安全稳定工作部/安保后勤处、党委教师工作部</w:t>
            </w:r>
          </w:p>
        </w:tc>
        <w:tc>
          <w:tcPr>
            <w:tcW w:w="2095" w:type="dxa"/>
            <w:shd w:val="clear" w:color="auto" w:fill="auto"/>
            <w:vAlign w:val="center"/>
          </w:tcPr>
          <w:p>
            <w:pPr>
              <w:widowControl/>
              <w:jc w:val="cente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pPr>
            <w:r>
              <w:rPr>
                <w:rFonts w:hint="default" w:ascii="Times New Roman" w:hAnsi="Times New Roman" w:eastAsia="仿宋_GB2312" w:cs="Times New Roman"/>
                <w:b w:val="0"/>
                <w:bCs w:val="0"/>
                <w:color w:val="000000" w:themeColor="text1"/>
                <w:kern w:val="0"/>
                <w:sz w:val="24"/>
                <w:szCs w:val="24"/>
                <w14:textFill>
                  <w14:solidFill>
                    <w14:schemeClr w14:val="tx1"/>
                  </w14:solidFill>
                </w14:textFill>
              </w:rPr>
              <w:t>新入院专任教师</w:t>
            </w:r>
          </w:p>
        </w:tc>
      </w:tr>
    </w:tbl>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sectPr>
          <w:headerReference r:id="rId4" w:type="default"/>
          <w:footerReference r:id="rId5" w:type="default"/>
          <w:footerReference r:id="rId6" w:type="even"/>
          <w:pgSz w:w="16838" w:h="11906" w:orient="landscape"/>
          <w:pgMar w:top="1588" w:right="2098" w:bottom="1474" w:left="1984" w:header="851" w:footer="992" w:gutter="0"/>
          <w:pgNumType w:fmt="decimal"/>
          <w:cols w:space="0" w:num="1"/>
          <w:docGrid w:type="linesAndChars" w:linePitch="318" w:charSpace="0"/>
        </w:sect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r>
        <w:rPr>
          <w:rFonts w:hint="eastAsia" w:eastAsia="仿宋" w:cs="Times New Roman"/>
          <w:b w:val="0"/>
          <w:bCs w:val="0"/>
          <w:color w:val="000000" w:themeColor="text1"/>
          <w:sz w:val="32"/>
          <w:szCs w:val="32"/>
          <w:lang w:eastAsia="zh-CN"/>
          <w14:textFill>
            <w14:solidFill>
              <w14:schemeClr w14:val="tx1"/>
            </w14:solidFill>
          </w14:textFill>
        </w:rPr>
        <w:t>（</w:t>
      </w:r>
      <w:r>
        <w:rPr>
          <w:rFonts w:hint="eastAsia" w:eastAsia="仿宋" w:cs="Times New Roman"/>
          <w:b w:val="0"/>
          <w:bCs w:val="0"/>
          <w:color w:val="000000" w:themeColor="text1"/>
          <w:sz w:val="32"/>
          <w:szCs w:val="32"/>
          <w:lang w:val="en-US" w:eastAsia="zh-CN"/>
          <w14:textFill>
            <w14:solidFill>
              <w14:schemeClr w14:val="tx1"/>
            </w14:solidFill>
          </w14:textFill>
        </w:rPr>
        <w:t>此页无正文</w:t>
      </w:r>
      <w:r>
        <w:rPr>
          <w:rFonts w:hint="eastAsia" w:eastAsia="仿宋" w:cs="Times New Roman"/>
          <w:b w:val="0"/>
          <w:bCs w:val="0"/>
          <w:color w:val="000000" w:themeColor="text1"/>
          <w:sz w:val="32"/>
          <w:szCs w:val="32"/>
          <w:lang w:eastAsia="zh-CN"/>
          <w14:textFill>
            <w14:solidFill>
              <w14:schemeClr w14:val="tx1"/>
            </w14:solidFill>
          </w14:textFill>
        </w:rPr>
        <w:t>）</w:t>
      </w: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560" w:lineRule="exact"/>
        <w:rPr>
          <w:rFonts w:hint="default" w:ascii="Times New Roman" w:hAnsi="Times New Roman" w:eastAsia="仿宋" w:cs="Times New Roman"/>
          <w:b w:val="0"/>
          <w:bCs w:val="0"/>
          <w:color w:val="000000" w:themeColor="text1"/>
          <w:sz w:val="32"/>
          <w:szCs w:val="32"/>
          <w14:textFill>
            <w14:solidFill>
              <w14:schemeClr w14:val="tx1"/>
            </w14:solidFill>
          </w14:textFill>
        </w:rPr>
      </w:pPr>
    </w:p>
    <w:p>
      <w:pPr>
        <w:spacing w:line="280" w:lineRule="exact"/>
        <w:ind w:firstLine="280" w:firstLineChars="100"/>
        <w:rPr>
          <w:rFonts w:hint="default" w:ascii="Times New Roman" w:hAnsi="Times New Roman" w:eastAsia="仿宋_GB2312" w:cs="Times New Roman"/>
          <w:b w:val="0"/>
          <w:bCs w:val="0"/>
          <w:sz w:val="28"/>
        </w:rPr>
      </w:pPr>
    </w:p>
    <w:p>
      <w:pPr>
        <w:spacing w:line="280" w:lineRule="exact"/>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63500</wp:posOffset>
                </wp:positionV>
                <wp:extent cx="5615940" cy="410210"/>
                <wp:effectExtent l="8255" t="14605" r="14605" b="0"/>
                <wp:wrapNone/>
                <wp:docPr id="2"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3"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4"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pt;margin-top:5pt;height:32.3pt;width:442.2pt;z-index:251660288;mso-width-relative:page;mso-height-relative:page;" coordorigin="6825,201452" coordsize="8844,646203" o:gfxdata="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AHveq1wAAAAYBAAAPAAAAAAAAAAEAIAAAACIAAABkcnMvZG93bnJldi54bWxQSwECFAAU&#10;AAAACACHTuJAgzIdXmQCAAC2BgAADgAAAAAAAAABACAAAAAmAQAAZHJzL2Uyb0RvYy54bWxQSwUG&#10;AAAAAAYABgBZAQAA/AUAAAAA&#10;">
                <o:lock v:ext="edit" aspectratio="f"/>
                <v:line id="Line 19" o:spid="_x0000_s1026" o:spt="20" style="position:absolute;left:6825;top:201452;flip:y;height:1;width:8844;" filled="f" stroked="t" coordsize="21600,21600" o:gfxdata="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3Jo4LsAAADa&#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BJvwlLoAAADa&#10;AAAADwAAAGRycy9kb3ducmV2LnhtbEWPS6vCMBSE94L/IRzh7jSt+KIaXegVBCniY+Pu0BzbYnNS&#10;mtzq/fdGEFwOM/MNs1g9TSVaalxpWUE8iEAQZ1aXnCu4nLf9GQjnkTVWlknBPzlYLbudBSbaPvhI&#10;7cnnIkDYJaig8L5OpHRZQQbdwNbEwbvZxqAPssmlbvAR4KaSwyiaSIMlh4UCa1oXlN1Pf0ZBG6d8&#10;2P1e7WaPaT6OU33Npl6pn14czUF4evpv+NPeaQUjeF8JN0Au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Em/CU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group>
            </w:pict>
          </mc:Fallback>
        </mc:AlternateContent>
      </w:r>
    </w:p>
    <w:p>
      <w:pPr>
        <w:spacing w:line="280" w:lineRule="exact"/>
        <w:ind w:firstLine="280" w:firstLineChars="100"/>
        <w:outlineLvl w:val="0"/>
        <w:rPr>
          <w:rFonts w:hint="default" w:ascii="Times New Roman" w:hAnsi="Times New Roman" w:eastAsia="仿宋_GB2312" w:cs="Times New Roman"/>
          <w:b w:val="0"/>
          <w:bCs w:val="0"/>
          <w:sz w:val="28"/>
        </w:rPr>
      </w:pPr>
      <w:r>
        <w:rPr>
          <w:rFonts w:hint="default" w:ascii="Times New Roman" w:hAnsi="Times New Roman" w:cs="Times New Roman"/>
          <w:b w:val="0"/>
          <w:bCs w:val="0"/>
          <w:sz w:val="28"/>
        </w:rPr>
        <mc:AlternateContent>
          <mc:Choice Requires="wpg">
            <w:drawing>
              <wp:anchor distT="0" distB="0" distL="114300" distR="114300" simplePos="0" relativeHeight="251661312" behindDoc="0" locked="0" layoutInCell="1" allowOverlap="1">
                <wp:simplePos x="0" y="0"/>
                <wp:positionH relativeFrom="column">
                  <wp:posOffset>-1270</wp:posOffset>
                </wp:positionH>
                <wp:positionV relativeFrom="paragraph">
                  <wp:posOffset>281940</wp:posOffset>
                </wp:positionV>
                <wp:extent cx="5615940" cy="410210"/>
                <wp:effectExtent l="0" t="0" r="22860" b="0"/>
                <wp:wrapNone/>
                <wp:docPr id="5" name="Group 18"/>
                <wp:cNvGraphicFramePr/>
                <a:graphic xmlns:a="http://schemas.openxmlformats.org/drawingml/2006/main">
                  <a:graphicData uri="http://schemas.microsoft.com/office/word/2010/wordprocessingGroup">
                    <wpg:wgp>
                      <wpg:cNvGrpSpPr/>
                      <wpg:grpSpPr>
                        <a:xfrm>
                          <a:off x="0" y="0"/>
                          <a:ext cx="5615940" cy="410210"/>
                          <a:chOff x="6825" y="201452"/>
                          <a:chExt cx="8844" cy="646203"/>
                        </a:xfrm>
                      </wpg:grpSpPr>
                      <wps:wsp>
                        <wps:cNvPr id="6" name="Line 19"/>
                        <wps:cNvCnPr>
                          <a:cxnSpLocks noChangeShapeType="1"/>
                        </wps:cNvCnPr>
                        <wps:spPr bwMode="auto">
                          <a:xfrm flipV="1">
                            <a:off x="6825" y="201452"/>
                            <a:ext cx="8844" cy="1"/>
                          </a:xfrm>
                          <a:prstGeom prst="line">
                            <a:avLst/>
                          </a:prstGeom>
                          <a:noFill/>
                          <a:ln w="12700">
                            <a:solidFill>
                              <a:srgbClr val="000000"/>
                            </a:solidFill>
                            <a:round/>
                          </a:ln>
                        </wps:spPr>
                        <wps:bodyPr/>
                      </wps:wsp>
                      <wps:wsp>
                        <wps:cNvPr id="7" name="Line 20"/>
                        <wps:cNvCnPr>
                          <a:cxnSpLocks noChangeShapeType="1"/>
                        </wps:cNvCnPr>
                        <wps:spPr bwMode="auto">
                          <a:xfrm flipV="1">
                            <a:off x="6825" y="202098"/>
                            <a:ext cx="8844" cy="1"/>
                          </a:xfrm>
                          <a:prstGeom prst="line">
                            <a:avLst/>
                          </a:prstGeom>
                          <a:noFill/>
                          <a:ln w="12700">
                            <a:solidFill>
                              <a:srgbClr val="000000"/>
                            </a:solidFill>
                            <a:round/>
                          </a:ln>
                        </wps:spPr>
                        <wps:bodyPr/>
                      </wps:wsp>
                    </wpg:wgp>
                  </a:graphicData>
                </a:graphic>
              </wp:anchor>
            </w:drawing>
          </mc:Choice>
          <mc:Fallback>
            <w:pict>
              <v:group id="Group 18" o:spid="_x0000_s1026" o:spt="203" style="position:absolute;left:0pt;margin-left:-0.1pt;margin-top:22.2pt;height:32.3pt;width:442.2pt;z-index:251661312;mso-width-relative:page;mso-height-relative:page;" coordorigin="6825,201452" coordsize="8844,646203" o:gfxdata="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lQQGV2AAAAAgBAAAPAAAAAAAAAAEAIAAAACIAAABkcnMvZG93bnJldi54bWxQSwECFAAUAAAA&#10;CACHTuJAVGBagmACAAC2BgAADgAAAAAAAAABACAAAAAnAQAAZHJzL2Uyb0RvYy54bWxQSwUGAAAA&#10;AAYABgBZAQAA+QUAAAAA&#10;">
                <o:lock v:ext="edit" aspectratio="f"/>
                <v:line id="Line 19" o:spid="_x0000_s1026" o:spt="20" style="position:absolute;left:6825;top:201452;flip:y;height:1;width:8844;" filled="f" stroked="t" coordsize="21600,21600" o:gfxdata="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Bct4ugAAANoA&#10;AAAPAAAAAAAAAAEAIAAAACIAAABkcnMvZG93bnJldi54bWxQSwECFAAUAAAACACHTuJAMy8FnjsA&#10;AAA5AAAAEAAAAAAAAAABACAAAAAJAQAAZHJzL3NoYXBleG1sLnhtbFBLBQYAAAAABgAGAFsBAACz&#10;AwAAAAA=&#10;">
                  <v:fill on="f" focussize="0,0"/>
                  <v:stroke weight="1pt" color="#000000" joinstyle="round"/>
                  <v:imagedata o:title=""/>
                  <o:lock v:ext="edit" aspectratio="f"/>
                </v:line>
                <v:line id="Line 20" o:spid="_x0000_s1026" o:spt="20" style="position:absolute;left:6825;top:202098;flip:y;height:1;width:8844;" filled="f" stroked="t" coordsize="21600,21600" o:gfxdata="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RJbuO8AAAA&#10;2gAAAA8AAAAAAAAAAQAgAAAAIgAAAGRycy9kb3ducmV2LnhtbFBLAQIUABQAAAAIAIdO4kAzLwWe&#10;OwAAADkAAAAQAAAAAAAAAAEAIAAAAAsBAABkcnMvc2hhcGV4bWwueG1sUEsFBgAAAAAGAAYAWwEA&#10;ALUDAAAAAA==&#10;">
                  <v:fill on="f" focussize="0,0"/>
                  <v:stroke weight="1pt" color="#000000" joinstyle="round"/>
                  <v:imagedata o:title=""/>
                  <o:lock v:ext="edit" aspectratio="f"/>
                </v:line>
              </v:group>
            </w:pict>
          </mc:Fallback>
        </mc:AlternateContent>
      </w:r>
      <w:r>
        <w:rPr>
          <w:rFonts w:hint="default" w:ascii="Times New Roman" w:hAnsi="Times New Roman" w:eastAsia="仿宋_GB2312" w:cs="Times New Roman"/>
          <w:b w:val="0"/>
          <w:bCs w:val="0"/>
          <w:sz w:val="28"/>
        </w:rPr>
        <w:t>中共北京教育学院委员会办公室           202</w:t>
      </w:r>
      <w:r>
        <w:rPr>
          <w:rFonts w:hint="eastAsia" w:eastAsia="仿宋_GB2312" w:cs="Times New Roman"/>
          <w:b w:val="0"/>
          <w:bCs w:val="0"/>
          <w:sz w:val="28"/>
          <w:lang w:val="en-US" w:eastAsia="zh-CN"/>
        </w:rPr>
        <w:t>2</w:t>
      </w:r>
      <w:r>
        <w:rPr>
          <w:rFonts w:hint="default" w:ascii="Times New Roman" w:hAnsi="Times New Roman" w:eastAsia="仿宋_GB2312" w:cs="Times New Roman"/>
          <w:b w:val="0"/>
          <w:bCs w:val="0"/>
          <w:sz w:val="28"/>
        </w:rPr>
        <w:t>年</w:t>
      </w:r>
      <w:r>
        <w:rPr>
          <w:rFonts w:hint="default" w:ascii="Times New Roman" w:hAnsi="Times New Roman" w:eastAsia="仿宋_GB2312" w:cs="Times New Roman"/>
          <w:b w:val="0"/>
          <w:bCs w:val="0"/>
          <w:sz w:val="28"/>
          <w:lang w:val="en-US" w:eastAsia="zh-CN"/>
        </w:rPr>
        <w:t>1</w:t>
      </w:r>
      <w:r>
        <w:rPr>
          <w:rFonts w:hint="eastAsia" w:eastAsia="仿宋_GB2312" w:cs="Times New Roman"/>
          <w:b w:val="0"/>
          <w:bCs w:val="0"/>
          <w:sz w:val="28"/>
          <w:lang w:val="en-US" w:eastAsia="zh-CN"/>
        </w:rPr>
        <w:t>2</w:t>
      </w:r>
      <w:r>
        <w:rPr>
          <w:rFonts w:hint="default" w:ascii="Times New Roman" w:hAnsi="Times New Roman" w:eastAsia="仿宋_GB2312" w:cs="Times New Roman"/>
          <w:b w:val="0"/>
          <w:bCs w:val="0"/>
          <w:sz w:val="28"/>
        </w:rPr>
        <w:t>月</w:t>
      </w:r>
      <w:r>
        <w:rPr>
          <w:rFonts w:hint="eastAsia" w:eastAsia="仿宋_GB2312" w:cs="Times New Roman"/>
          <w:b w:val="0"/>
          <w:bCs w:val="0"/>
          <w:sz w:val="28"/>
          <w:lang w:val="en-US" w:eastAsia="zh-CN"/>
        </w:rPr>
        <w:t>30</w:t>
      </w:r>
      <w:r>
        <w:rPr>
          <w:rFonts w:hint="default" w:ascii="Times New Roman" w:hAnsi="Times New Roman" w:eastAsia="仿宋_GB2312" w:cs="Times New Roman"/>
          <w:b w:val="0"/>
          <w:bCs w:val="0"/>
          <w:sz w:val="28"/>
        </w:rPr>
        <w:t>日印发</w:t>
      </w:r>
    </w:p>
    <w:sectPr>
      <w:pgSz w:w="11906" w:h="16838"/>
      <w:pgMar w:top="2098" w:right="1474" w:bottom="1984" w:left="1588" w:header="851" w:footer="992" w:gutter="0"/>
      <w:pgNumType w:fmt="decimal"/>
      <w:cols w:space="0" w:num="1"/>
      <w:docGrid w:type="linesAndChar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eastAsia="宋体" w:cs="Times New Roman"/>
                              <w:kern w:val="2"/>
                              <w:sz w:val="28"/>
                              <w:szCs w:val="28"/>
                              <w:lang w:val="en-US" w:eastAsia="zh-CN" w:bidi="ar-SA"/>
                            </w:rPr>
                            <w:id w:val="515125627"/>
                          </w:sdtPr>
                          <w:sdtEndPr>
                            <w:rPr>
                              <w:rFonts w:ascii="Times New Roman" w:hAnsi="Times New Roman" w:eastAsia="宋体" w:cs="Times New Roman"/>
                              <w:kern w:val="2"/>
                              <w:sz w:val="28"/>
                              <w:szCs w:val="28"/>
                              <w:lang w:val="en-US" w:eastAsia="zh-CN" w:bidi="ar-SA"/>
                            </w:rPr>
                          </w:sdtEndPr>
                          <w:sdtContent>
                            <w:p>
                              <w:pPr>
                                <w:pStyle w:val="14"/>
                                <w:jc w:val="center"/>
                                <w:rPr>
                                  <w:rFonts w:ascii="Times New Roman" w:hAnsi="Times New Roman" w:eastAsia="宋体" w:cs="Times New Roman"/>
                                  <w:kern w:val="2"/>
                                  <w:sz w:val="28"/>
                                  <w:szCs w:val="28"/>
                                  <w:lang w:val="en-US" w:eastAsia="zh-CN" w:bidi="ar-SA"/>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rPr>
                              <w:rFonts w:ascii="Times New Roman" w:hAnsi="Times New Roman" w:eastAsia="宋体" w:cs="Times New Roman"/>
                              <w:kern w:val="2"/>
                              <w:sz w:val="28"/>
                              <w:szCs w:val="28"/>
                              <w:lang w:val="en-US" w:eastAsia="zh-CN" w:bidi="ar-S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rPr>
                        <w:rFonts w:ascii="Times New Roman" w:hAnsi="Times New Roman" w:eastAsia="宋体" w:cs="Times New Roman"/>
                        <w:kern w:val="2"/>
                        <w:sz w:val="28"/>
                        <w:szCs w:val="28"/>
                        <w:lang w:val="en-US" w:eastAsia="zh-CN" w:bidi="ar-SA"/>
                      </w:rPr>
                      <w:id w:val="515125627"/>
                    </w:sdtPr>
                    <w:sdtEndPr>
                      <w:rPr>
                        <w:rFonts w:ascii="Times New Roman" w:hAnsi="Times New Roman" w:eastAsia="宋体" w:cs="Times New Roman"/>
                        <w:kern w:val="2"/>
                        <w:sz w:val="28"/>
                        <w:szCs w:val="28"/>
                        <w:lang w:val="en-US" w:eastAsia="zh-CN" w:bidi="ar-SA"/>
                      </w:rPr>
                    </w:sdtEndPr>
                    <w:sdtContent>
                      <w:p>
                        <w:pPr>
                          <w:pStyle w:val="14"/>
                          <w:jc w:val="center"/>
                          <w:rPr>
                            <w:rFonts w:ascii="Times New Roman" w:hAnsi="Times New Roman" w:eastAsia="宋体" w:cs="Times New Roman"/>
                            <w:kern w:val="2"/>
                            <w:sz w:val="28"/>
                            <w:szCs w:val="28"/>
                            <w:lang w:val="en-US" w:eastAsia="zh-CN" w:bidi="ar-SA"/>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p>
                    </w:sdtContent>
                  </w:sdt>
                  <w:p>
                    <w:pPr>
                      <w:rPr>
                        <w:rFonts w:ascii="Times New Roman" w:hAnsi="Times New Roman" w:eastAsia="宋体" w:cs="Times New Roman"/>
                        <w:kern w:val="2"/>
                        <w:sz w:val="28"/>
                        <w:szCs w:val="28"/>
                        <w:lang w:val="en-US" w:eastAsia="zh-CN" w:bidi="ar-SA"/>
                      </w:rPr>
                    </w:pPr>
                  </w:p>
                </w:txbxContent>
              </v:textbox>
            </v:shape>
          </w:pict>
        </mc:Fallback>
      </mc:AlternateContent>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3810" t="3810" r="0" b="3810"/>
              <wp:wrapNone/>
              <wp:docPr id="1" name="Text Box 2"/>
              <wp:cNvGraphicFramePr/>
              <a:graphic xmlns:a="http://schemas.openxmlformats.org/drawingml/2006/main">
                <a:graphicData uri="http://schemas.microsoft.com/office/word/2010/wordprocessingShape">
                  <wps:wsp>
                    <wps:cNvSpPr txBox="1">
                      <a:spLocks noChangeArrowheads="1"/>
                    </wps:cNvSpPr>
                    <wps:spPr bwMode="auto">
                      <a:xfrm>
                        <a:off x="0" y="0"/>
                        <a:ext cx="534035" cy="230505"/>
                      </a:xfrm>
                      <a:prstGeom prst="rect">
                        <a:avLst/>
                      </a:prstGeom>
                      <a:noFill/>
                      <a:ln>
                        <a:noFill/>
                      </a:ln>
                    </wps:spPr>
                    <wps:txbx>
                      <w:txbxContent>
                        <w:p>
                          <w:pPr>
                            <w:pStyle w:val="14"/>
                            <w:rPr>
                              <w:rStyle w:val="26"/>
                              <w:rFonts w:ascii="宋体" w:hAnsi="宋体"/>
                              <w:sz w:val="28"/>
                              <w:szCs w:val="28"/>
                            </w:rPr>
                          </w:pPr>
                          <w:r>
                            <w:rPr>
                              <w:rStyle w:val="26"/>
                              <w:rFonts w:ascii="宋体" w:hAnsi="宋体"/>
                              <w:sz w:val="28"/>
                              <w:szCs w:val="28"/>
                            </w:rPr>
                            <w:fldChar w:fldCharType="begin"/>
                          </w:r>
                          <w:r>
                            <w:rPr>
                              <w:rStyle w:val="26"/>
                              <w:rFonts w:ascii="宋体" w:hAnsi="宋体"/>
                              <w:sz w:val="28"/>
                              <w:szCs w:val="28"/>
                            </w:rPr>
                            <w:instrText xml:space="preserve">PAGE  </w:instrText>
                          </w:r>
                          <w:r>
                            <w:rPr>
                              <w:rStyle w:val="26"/>
                              <w:rFonts w:ascii="宋体" w:hAnsi="宋体"/>
                              <w:sz w:val="28"/>
                              <w:szCs w:val="28"/>
                            </w:rPr>
                            <w:fldChar w:fldCharType="separate"/>
                          </w:r>
                          <w:r>
                            <w:rPr>
                              <w:rStyle w:val="26"/>
                              <w:rFonts w:ascii="宋体" w:hAnsi="宋体"/>
                              <w:sz w:val="28"/>
                              <w:szCs w:val="28"/>
                            </w:rPr>
                            <w:t>- 19 -</w:t>
                          </w:r>
                          <w:r>
                            <w:rPr>
                              <w:rStyle w:val="26"/>
                              <w:rFonts w:ascii="宋体" w:hAnsi="宋体"/>
                              <w:sz w:val="28"/>
                              <w:szCs w:val="28"/>
                            </w:rP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v:fill on="f" focussize="0,0"/>
              <v:stroke on="f"/>
              <v:imagedata o:title=""/>
              <o:lock v:ext="edit" aspectratio="f"/>
              <v:textbox inset="0mm,0mm,0mm,0mm" style="mso-fit-shape-to-text:t;">
                <w:txbxContent>
                  <w:p>
                    <w:pPr>
                      <w:pStyle w:val="14"/>
                      <w:rPr>
                        <w:rStyle w:val="26"/>
                        <w:rFonts w:ascii="宋体" w:hAnsi="宋体"/>
                        <w:sz w:val="28"/>
                        <w:szCs w:val="28"/>
                      </w:rPr>
                    </w:pPr>
                    <w:r>
                      <w:rPr>
                        <w:rStyle w:val="26"/>
                        <w:rFonts w:ascii="宋体" w:hAnsi="宋体"/>
                        <w:sz w:val="28"/>
                        <w:szCs w:val="28"/>
                      </w:rPr>
                      <w:fldChar w:fldCharType="begin"/>
                    </w:r>
                    <w:r>
                      <w:rPr>
                        <w:rStyle w:val="26"/>
                        <w:rFonts w:ascii="宋体" w:hAnsi="宋体"/>
                        <w:sz w:val="28"/>
                        <w:szCs w:val="28"/>
                      </w:rPr>
                      <w:instrText xml:space="preserve">PAGE  </w:instrText>
                    </w:r>
                    <w:r>
                      <w:rPr>
                        <w:rStyle w:val="26"/>
                        <w:rFonts w:ascii="宋体" w:hAnsi="宋体"/>
                        <w:sz w:val="28"/>
                        <w:szCs w:val="28"/>
                      </w:rPr>
                      <w:fldChar w:fldCharType="separate"/>
                    </w:r>
                    <w:r>
                      <w:rPr>
                        <w:rStyle w:val="26"/>
                        <w:rFonts w:ascii="宋体" w:hAnsi="宋体"/>
                        <w:sz w:val="28"/>
                        <w:szCs w:val="28"/>
                      </w:rPr>
                      <w:t>- 19 -</w:t>
                    </w:r>
                    <w:r>
                      <w:rPr>
                        <w:rStyle w:val="26"/>
                        <w:rFonts w:ascii="宋体" w:hAnsi="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1981" w:y="-728"/>
      <w:rPr>
        <w:rStyle w:val="26"/>
        <w:rFonts w:ascii="宋体" w:hAnsi="宋体"/>
        <w:sz w:val="28"/>
        <w:szCs w:val="28"/>
      </w:rPr>
    </w:pPr>
    <w:r>
      <w:rPr>
        <w:rStyle w:val="26"/>
        <w:rFonts w:ascii="宋体" w:hAnsi="宋体"/>
        <w:sz w:val="28"/>
        <w:szCs w:val="28"/>
      </w:rPr>
      <w:fldChar w:fldCharType="begin"/>
    </w:r>
    <w:r>
      <w:rPr>
        <w:rStyle w:val="26"/>
        <w:rFonts w:ascii="宋体" w:hAnsi="宋体"/>
        <w:sz w:val="28"/>
        <w:szCs w:val="28"/>
      </w:rPr>
      <w:instrText xml:space="preserve">PAGE  </w:instrText>
    </w:r>
    <w:r>
      <w:rPr>
        <w:rStyle w:val="26"/>
        <w:rFonts w:ascii="宋体" w:hAnsi="宋体"/>
        <w:sz w:val="28"/>
        <w:szCs w:val="28"/>
      </w:rPr>
      <w:fldChar w:fldCharType="separate"/>
    </w:r>
    <w:r>
      <w:rPr>
        <w:rStyle w:val="26"/>
        <w:rFonts w:ascii="宋体" w:hAnsi="宋体"/>
        <w:sz w:val="28"/>
        <w:szCs w:val="28"/>
      </w:rPr>
      <w:t>- 6 -</w:t>
    </w:r>
    <w:r>
      <w:rPr>
        <w:rStyle w:val="26"/>
        <w:rFonts w:ascii="宋体" w:hAnsi="宋体"/>
        <w:sz w:val="28"/>
        <w:szCs w:val="28"/>
      </w:rP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640"/>
      <w:rPr>
        <w:rFonts w:ascii="等线" w:hAnsi="等线" w:eastAsia="等线"/>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hideSpellingErrors/>
  <w:hideGrammaticalErrors/>
  <w:documentProtection w:enforcement="0"/>
  <w:defaultTabStop w:val="425"/>
  <w:drawingGridHorizontalSpacing w:val="105"/>
  <w:drawingGridVerticalSpacing w:val="159"/>
  <w:noPunctuationKerning w:val="1"/>
  <w:characterSpacingControl w:val="compressPunctuation"/>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U3OGJjMDE3YjQ1MjE5MjU4NzYxOGU2N2RkZGUyMWQifQ=="/>
  </w:docVars>
  <w:rsids>
    <w:rsidRoot w:val="00DC6678"/>
    <w:rsid w:val="000014BF"/>
    <w:rsid w:val="00011619"/>
    <w:rsid w:val="00030B5F"/>
    <w:rsid w:val="000310DE"/>
    <w:rsid w:val="00031286"/>
    <w:rsid w:val="0003673E"/>
    <w:rsid w:val="00055785"/>
    <w:rsid w:val="000627B9"/>
    <w:rsid w:val="000657C0"/>
    <w:rsid w:val="000C2E7E"/>
    <w:rsid w:val="000C2F53"/>
    <w:rsid w:val="000E1897"/>
    <w:rsid w:val="000E335A"/>
    <w:rsid w:val="00101D67"/>
    <w:rsid w:val="00121647"/>
    <w:rsid w:val="00134D97"/>
    <w:rsid w:val="00141341"/>
    <w:rsid w:val="001447C0"/>
    <w:rsid w:val="00145485"/>
    <w:rsid w:val="00164815"/>
    <w:rsid w:val="0017009D"/>
    <w:rsid w:val="0017251E"/>
    <w:rsid w:val="00175410"/>
    <w:rsid w:val="00175D92"/>
    <w:rsid w:val="0018676C"/>
    <w:rsid w:val="0019276D"/>
    <w:rsid w:val="001973CD"/>
    <w:rsid w:val="00197A97"/>
    <w:rsid w:val="001B4704"/>
    <w:rsid w:val="001B4829"/>
    <w:rsid w:val="001C00A9"/>
    <w:rsid w:val="001C48F0"/>
    <w:rsid w:val="001D3C80"/>
    <w:rsid w:val="001E1D16"/>
    <w:rsid w:val="001E734A"/>
    <w:rsid w:val="00224AB8"/>
    <w:rsid w:val="00233D69"/>
    <w:rsid w:val="00235E42"/>
    <w:rsid w:val="00237EB6"/>
    <w:rsid w:val="00251654"/>
    <w:rsid w:val="00257B40"/>
    <w:rsid w:val="0027000F"/>
    <w:rsid w:val="002724DB"/>
    <w:rsid w:val="0028045E"/>
    <w:rsid w:val="002A5534"/>
    <w:rsid w:val="002A752C"/>
    <w:rsid w:val="002A7679"/>
    <w:rsid w:val="002B3E95"/>
    <w:rsid w:val="002C6F91"/>
    <w:rsid w:val="002E5662"/>
    <w:rsid w:val="002F053E"/>
    <w:rsid w:val="002F13BB"/>
    <w:rsid w:val="002F7F0E"/>
    <w:rsid w:val="003065B3"/>
    <w:rsid w:val="00312D19"/>
    <w:rsid w:val="00314D04"/>
    <w:rsid w:val="00321367"/>
    <w:rsid w:val="00330928"/>
    <w:rsid w:val="00331B8F"/>
    <w:rsid w:val="003413E3"/>
    <w:rsid w:val="0034588E"/>
    <w:rsid w:val="003459C7"/>
    <w:rsid w:val="003479AB"/>
    <w:rsid w:val="00360274"/>
    <w:rsid w:val="00364DB8"/>
    <w:rsid w:val="00365BBA"/>
    <w:rsid w:val="0037193A"/>
    <w:rsid w:val="003745CD"/>
    <w:rsid w:val="003824C3"/>
    <w:rsid w:val="00382C78"/>
    <w:rsid w:val="0038741A"/>
    <w:rsid w:val="00390780"/>
    <w:rsid w:val="003A02F0"/>
    <w:rsid w:val="003A6A77"/>
    <w:rsid w:val="003B7169"/>
    <w:rsid w:val="003C47B7"/>
    <w:rsid w:val="003D1237"/>
    <w:rsid w:val="003D36CB"/>
    <w:rsid w:val="003E7BFD"/>
    <w:rsid w:val="003F5EAC"/>
    <w:rsid w:val="003F6150"/>
    <w:rsid w:val="003F6309"/>
    <w:rsid w:val="00414F4A"/>
    <w:rsid w:val="00423428"/>
    <w:rsid w:val="00455B4C"/>
    <w:rsid w:val="0045699E"/>
    <w:rsid w:val="00462686"/>
    <w:rsid w:val="0048215E"/>
    <w:rsid w:val="004915F5"/>
    <w:rsid w:val="0049296B"/>
    <w:rsid w:val="00493881"/>
    <w:rsid w:val="004A1543"/>
    <w:rsid w:val="004C3114"/>
    <w:rsid w:val="004C3C5F"/>
    <w:rsid w:val="004C5A23"/>
    <w:rsid w:val="004E1D80"/>
    <w:rsid w:val="004E7C70"/>
    <w:rsid w:val="004F089D"/>
    <w:rsid w:val="004F14D9"/>
    <w:rsid w:val="005035B7"/>
    <w:rsid w:val="00522D6F"/>
    <w:rsid w:val="00526868"/>
    <w:rsid w:val="00543255"/>
    <w:rsid w:val="0055031C"/>
    <w:rsid w:val="005623B4"/>
    <w:rsid w:val="00566D9B"/>
    <w:rsid w:val="00571339"/>
    <w:rsid w:val="0058180B"/>
    <w:rsid w:val="00584F8E"/>
    <w:rsid w:val="005930E6"/>
    <w:rsid w:val="00593539"/>
    <w:rsid w:val="00593A49"/>
    <w:rsid w:val="005B7AAF"/>
    <w:rsid w:val="005D6D0E"/>
    <w:rsid w:val="005E12E1"/>
    <w:rsid w:val="005F086E"/>
    <w:rsid w:val="0060219E"/>
    <w:rsid w:val="00604610"/>
    <w:rsid w:val="00625804"/>
    <w:rsid w:val="0063052E"/>
    <w:rsid w:val="006502E2"/>
    <w:rsid w:val="00656245"/>
    <w:rsid w:val="006646C4"/>
    <w:rsid w:val="00664D28"/>
    <w:rsid w:val="00686817"/>
    <w:rsid w:val="00687761"/>
    <w:rsid w:val="006A0642"/>
    <w:rsid w:val="006A5C7E"/>
    <w:rsid w:val="006A60D0"/>
    <w:rsid w:val="006A7AFB"/>
    <w:rsid w:val="006B21F3"/>
    <w:rsid w:val="006B33B8"/>
    <w:rsid w:val="006D4948"/>
    <w:rsid w:val="006D6BD2"/>
    <w:rsid w:val="006F76C3"/>
    <w:rsid w:val="00701FF8"/>
    <w:rsid w:val="00703AB9"/>
    <w:rsid w:val="007239E2"/>
    <w:rsid w:val="00740F80"/>
    <w:rsid w:val="0074297F"/>
    <w:rsid w:val="007556ED"/>
    <w:rsid w:val="00757B4C"/>
    <w:rsid w:val="00764199"/>
    <w:rsid w:val="00774B73"/>
    <w:rsid w:val="007A2767"/>
    <w:rsid w:val="007A5EAE"/>
    <w:rsid w:val="007C0A9E"/>
    <w:rsid w:val="007F2F45"/>
    <w:rsid w:val="00800B61"/>
    <w:rsid w:val="00800CCE"/>
    <w:rsid w:val="008053A2"/>
    <w:rsid w:val="00810640"/>
    <w:rsid w:val="00811DF3"/>
    <w:rsid w:val="00820095"/>
    <w:rsid w:val="00835765"/>
    <w:rsid w:val="008418AF"/>
    <w:rsid w:val="00842F7D"/>
    <w:rsid w:val="00852ED0"/>
    <w:rsid w:val="008549B0"/>
    <w:rsid w:val="00863EC9"/>
    <w:rsid w:val="00865AD7"/>
    <w:rsid w:val="00877F58"/>
    <w:rsid w:val="00880444"/>
    <w:rsid w:val="00891D07"/>
    <w:rsid w:val="008A0F9E"/>
    <w:rsid w:val="008A2C81"/>
    <w:rsid w:val="008B367C"/>
    <w:rsid w:val="008B6D87"/>
    <w:rsid w:val="008B7436"/>
    <w:rsid w:val="008E644E"/>
    <w:rsid w:val="00934051"/>
    <w:rsid w:val="00936313"/>
    <w:rsid w:val="00941DD7"/>
    <w:rsid w:val="00942A48"/>
    <w:rsid w:val="009465F7"/>
    <w:rsid w:val="0095667B"/>
    <w:rsid w:val="00957E69"/>
    <w:rsid w:val="009613D2"/>
    <w:rsid w:val="009843EE"/>
    <w:rsid w:val="00990D9F"/>
    <w:rsid w:val="009A76DE"/>
    <w:rsid w:val="009B0533"/>
    <w:rsid w:val="009B3D72"/>
    <w:rsid w:val="009C4E01"/>
    <w:rsid w:val="009D44C2"/>
    <w:rsid w:val="009E44EB"/>
    <w:rsid w:val="009E66CF"/>
    <w:rsid w:val="009F0481"/>
    <w:rsid w:val="009F0647"/>
    <w:rsid w:val="00A0080C"/>
    <w:rsid w:val="00A01764"/>
    <w:rsid w:val="00A117D8"/>
    <w:rsid w:val="00A402B3"/>
    <w:rsid w:val="00A51BBA"/>
    <w:rsid w:val="00A61E7D"/>
    <w:rsid w:val="00A660D0"/>
    <w:rsid w:val="00A66636"/>
    <w:rsid w:val="00A67D2F"/>
    <w:rsid w:val="00A70184"/>
    <w:rsid w:val="00A85EB2"/>
    <w:rsid w:val="00AA3D83"/>
    <w:rsid w:val="00AA55EE"/>
    <w:rsid w:val="00AB45DC"/>
    <w:rsid w:val="00AB65C9"/>
    <w:rsid w:val="00AB6F32"/>
    <w:rsid w:val="00AC1C25"/>
    <w:rsid w:val="00AC1F79"/>
    <w:rsid w:val="00AD16DB"/>
    <w:rsid w:val="00AE4420"/>
    <w:rsid w:val="00B05FE6"/>
    <w:rsid w:val="00B11C22"/>
    <w:rsid w:val="00B12DFF"/>
    <w:rsid w:val="00B13D94"/>
    <w:rsid w:val="00B15375"/>
    <w:rsid w:val="00B2128A"/>
    <w:rsid w:val="00B24222"/>
    <w:rsid w:val="00B2736F"/>
    <w:rsid w:val="00B33AFA"/>
    <w:rsid w:val="00B35EAE"/>
    <w:rsid w:val="00B76F74"/>
    <w:rsid w:val="00B8127D"/>
    <w:rsid w:val="00B83FD8"/>
    <w:rsid w:val="00BB1797"/>
    <w:rsid w:val="00BB3F90"/>
    <w:rsid w:val="00BB51B1"/>
    <w:rsid w:val="00BE2CB8"/>
    <w:rsid w:val="00BE6624"/>
    <w:rsid w:val="00C02696"/>
    <w:rsid w:val="00C03DD4"/>
    <w:rsid w:val="00C17A53"/>
    <w:rsid w:val="00C20171"/>
    <w:rsid w:val="00C255CC"/>
    <w:rsid w:val="00C3014A"/>
    <w:rsid w:val="00C31814"/>
    <w:rsid w:val="00C4514C"/>
    <w:rsid w:val="00C526AE"/>
    <w:rsid w:val="00C55B2C"/>
    <w:rsid w:val="00C56324"/>
    <w:rsid w:val="00C74139"/>
    <w:rsid w:val="00C82D3A"/>
    <w:rsid w:val="00CB2EDC"/>
    <w:rsid w:val="00CC0CD0"/>
    <w:rsid w:val="00CE472B"/>
    <w:rsid w:val="00CF227A"/>
    <w:rsid w:val="00D22D95"/>
    <w:rsid w:val="00D2572F"/>
    <w:rsid w:val="00D43322"/>
    <w:rsid w:val="00D447E2"/>
    <w:rsid w:val="00D47F5E"/>
    <w:rsid w:val="00D63A33"/>
    <w:rsid w:val="00D8699E"/>
    <w:rsid w:val="00D965A7"/>
    <w:rsid w:val="00DB4C6F"/>
    <w:rsid w:val="00DC6678"/>
    <w:rsid w:val="00DD4714"/>
    <w:rsid w:val="00DD583B"/>
    <w:rsid w:val="00DE4210"/>
    <w:rsid w:val="00DF3AA9"/>
    <w:rsid w:val="00DF618F"/>
    <w:rsid w:val="00DF7D6F"/>
    <w:rsid w:val="00E03FB6"/>
    <w:rsid w:val="00E10130"/>
    <w:rsid w:val="00E14929"/>
    <w:rsid w:val="00E15F3E"/>
    <w:rsid w:val="00E22298"/>
    <w:rsid w:val="00E27054"/>
    <w:rsid w:val="00E27686"/>
    <w:rsid w:val="00E30158"/>
    <w:rsid w:val="00E3194D"/>
    <w:rsid w:val="00E3727A"/>
    <w:rsid w:val="00E3736B"/>
    <w:rsid w:val="00E42F1A"/>
    <w:rsid w:val="00E446AB"/>
    <w:rsid w:val="00E50041"/>
    <w:rsid w:val="00E53524"/>
    <w:rsid w:val="00E634A9"/>
    <w:rsid w:val="00E74F00"/>
    <w:rsid w:val="00E768DA"/>
    <w:rsid w:val="00E8316B"/>
    <w:rsid w:val="00E90F51"/>
    <w:rsid w:val="00EA1A00"/>
    <w:rsid w:val="00EA64BA"/>
    <w:rsid w:val="00EB2F11"/>
    <w:rsid w:val="00EB69EE"/>
    <w:rsid w:val="00EB7F92"/>
    <w:rsid w:val="00EE34AA"/>
    <w:rsid w:val="00EF1599"/>
    <w:rsid w:val="00EF18BE"/>
    <w:rsid w:val="00EF5E2D"/>
    <w:rsid w:val="00F021F9"/>
    <w:rsid w:val="00F023E0"/>
    <w:rsid w:val="00F02E22"/>
    <w:rsid w:val="00F135C5"/>
    <w:rsid w:val="00F14EF4"/>
    <w:rsid w:val="00F21DC1"/>
    <w:rsid w:val="00F23F38"/>
    <w:rsid w:val="00F339A2"/>
    <w:rsid w:val="00F35998"/>
    <w:rsid w:val="00F51B31"/>
    <w:rsid w:val="00F547D8"/>
    <w:rsid w:val="00F717FE"/>
    <w:rsid w:val="00F746A5"/>
    <w:rsid w:val="00F74F58"/>
    <w:rsid w:val="00FA17E0"/>
    <w:rsid w:val="00FA2FD6"/>
    <w:rsid w:val="00FB2AF9"/>
    <w:rsid w:val="00FB3145"/>
    <w:rsid w:val="00FC4CDB"/>
    <w:rsid w:val="00FD509E"/>
    <w:rsid w:val="00FF6C48"/>
    <w:rsid w:val="0127561C"/>
    <w:rsid w:val="01A119FC"/>
    <w:rsid w:val="023B0D85"/>
    <w:rsid w:val="0393096F"/>
    <w:rsid w:val="03EF48AA"/>
    <w:rsid w:val="04FF7AE2"/>
    <w:rsid w:val="05FE024C"/>
    <w:rsid w:val="065C5168"/>
    <w:rsid w:val="07EF062B"/>
    <w:rsid w:val="07F76E78"/>
    <w:rsid w:val="08397C17"/>
    <w:rsid w:val="084C09B0"/>
    <w:rsid w:val="09922F90"/>
    <w:rsid w:val="0A51452A"/>
    <w:rsid w:val="0BED4349"/>
    <w:rsid w:val="0C3D03F2"/>
    <w:rsid w:val="0C41029C"/>
    <w:rsid w:val="0C7B0F8B"/>
    <w:rsid w:val="0C845BEF"/>
    <w:rsid w:val="0C8B1A4A"/>
    <w:rsid w:val="0E1B522C"/>
    <w:rsid w:val="0E743BCE"/>
    <w:rsid w:val="0F5576BB"/>
    <w:rsid w:val="0FB91C2B"/>
    <w:rsid w:val="0FD52A61"/>
    <w:rsid w:val="0FDC376D"/>
    <w:rsid w:val="10217675"/>
    <w:rsid w:val="10CB3597"/>
    <w:rsid w:val="12BF0206"/>
    <w:rsid w:val="137C3E5C"/>
    <w:rsid w:val="14205C34"/>
    <w:rsid w:val="14D959F5"/>
    <w:rsid w:val="150A601E"/>
    <w:rsid w:val="177207C7"/>
    <w:rsid w:val="19082E26"/>
    <w:rsid w:val="19EB097E"/>
    <w:rsid w:val="1A257270"/>
    <w:rsid w:val="1AA32939"/>
    <w:rsid w:val="1B0C1DB2"/>
    <w:rsid w:val="1B407A44"/>
    <w:rsid w:val="1B517BA6"/>
    <w:rsid w:val="1BF626C3"/>
    <w:rsid w:val="1E302241"/>
    <w:rsid w:val="1E436EC5"/>
    <w:rsid w:val="1FC04FB3"/>
    <w:rsid w:val="202F3346"/>
    <w:rsid w:val="20F05610"/>
    <w:rsid w:val="21254EEC"/>
    <w:rsid w:val="218D3EC3"/>
    <w:rsid w:val="21F826B1"/>
    <w:rsid w:val="227764F9"/>
    <w:rsid w:val="22947536"/>
    <w:rsid w:val="229F3BE2"/>
    <w:rsid w:val="22AA09BD"/>
    <w:rsid w:val="23022F95"/>
    <w:rsid w:val="23234A55"/>
    <w:rsid w:val="23A3696A"/>
    <w:rsid w:val="24253281"/>
    <w:rsid w:val="25475B9E"/>
    <w:rsid w:val="26024C5F"/>
    <w:rsid w:val="26852758"/>
    <w:rsid w:val="282F2100"/>
    <w:rsid w:val="28791571"/>
    <w:rsid w:val="28BD6625"/>
    <w:rsid w:val="29B11CD7"/>
    <w:rsid w:val="29DA2C92"/>
    <w:rsid w:val="2A3E16D3"/>
    <w:rsid w:val="2B9E478D"/>
    <w:rsid w:val="2BCA3D60"/>
    <w:rsid w:val="2C306B2E"/>
    <w:rsid w:val="2C555DB3"/>
    <w:rsid w:val="2C67659D"/>
    <w:rsid w:val="2C926ECE"/>
    <w:rsid w:val="2D15360E"/>
    <w:rsid w:val="2DAB5A42"/>
    <w:rsid w:val="2E0954E4"/>
    <w:rsid w:val="2F6333EC"/>
    <w:rsid w:val="2FC26E9C"/>
    <w:rsid w:val="2FCF7EDE"/>
    <w:rsid w:val="2FFF5E00"/>
    <w:rsid w:val="30995039"/>
    <w:rsid w:val="30CC3C10"/>
    <w:rsid w:val="31C23B53"/>
    <w:rsid w:val="31EA6996"/>
    <w:rsid w:val="32617BCD"/>
    <w:rsid w:val="35833416"/>
    <w:rsid w:val="36E02E65"/>
    <w:rsid w:val="3781255F"/>
    <w:rsid w:val="37CA5CEE"/>
    <w:rsid w:val="39656507"/>
    <w:rsid w:val="39AF77BF"/>
    <w:rsid w:val="3A072462"/>
    <w:rsid w:val="3A10608A"/>
    <w:rsid w:val="3A774A53"/>
    <w:rsid w:val="3A7B204F"/>
    <w:rsid w:val="3C4C0839"/>
    <w:rsid w:val="3C75728C"/>
    <w:rsid w:val="3C7E1027"/>
    <w:rsid w:val="3C9B3888"/>
    <w:rsid w:val="3E091AA4"/>
    <w:rsid w:val="3EF85104"/>
    <w:rsid w:val="3F0D65C9"/>
    <w:rsid w:val="3F4E4553"/>
    <w:rsid w:val="3FC24297"/>
    <w:rsid w:val="4147254C"/>
    <w:rsid w:val="419C4FC6"/>
    <w:rsid w:val="428455E3"/>
    <w:rsid w:val="431E34F4"/>
    <w:rsid w:val="43BC5997"/>
    <w:rsid w:val="450C0AF8"/>
    <w:rsid w:val="457F131B"/>
    <w:rsid w:val="46AE5938"/>
    <w:rsid w:val="4721292C"/>
    <w:rsid w:val="4774221F"/>
    <w:rsid w:val="4854064D"/>
    <w:rsid w:val="487039CA"/>
    <w:rsid w:val="491846E2"/>
    <w:rsid w:val="496376AB"/>
    <w:rsid w:val="49FC6815"/>
    <w:rsid w:val="4B8F479B"/>
    <w:rsid w:val="4C4774AF"/>
    <w:rsid w:val="4C56198E"/>
    <w:rsid w:val="4C9302EB"/>
    <w:rsid w:val="4D3576C5"/>
    <w:rsid w:val="4E607018"/>
    <w:rsid w:val="4ED15AAE"/>
    <w:rsid w:val="4F013050"/>
    <w:rsid w:val="4F02562A"/>
    <w:rsid w:val="4F0D515D"/>
    <w:rsid w:val="501329F4"/>
    <w:rsid w:val="504B376D"/>
    <w:rsid w:val="508463C2"/>
    <w:rsid w:val="50F07AFB"/>
    <w:rsid w:val="511E7FC6"/>
    <w:rsid w:val="52A53D62"/>
    <w:rsid w:val="536D011B"/>
    <w:rsid w:val="54490115"/>
    <w:rsid w:val="545E797B"/>
    <w:rsid w:val="54C61734"/>
    <w:rsid w:val="5511245D"/>
    <w:rsid w:val="552F1E5E"/>
    <w:rsid w:val="55407EEE"/>
    <w:rsid w:val="55700DEF"/>
    <w:rsid w:val="55701085"/>
    <w:rsid w:val="55954627"/>
    <w:rsid w:val="55EA2CC2"/>
    <w:rsid w:val="562B1B9F"/>
    <w:rsid w:val="579237AF"/>
    <w:rsid w:val="590374F4"/>
    <w:rsid w:val="59270ED6"/>
    <w:rsid w:val="59A70F49"/>
    <w:rsid w:val="5A7A7E04"/>
    <w:rsid w:val="5C145707"/>
    <w:rsid w:val="5C89467B"/>
    <w:rsid w:val="5E180794"/>
    <w:rsid w:val="5E993878"/>
    <w:rsid w:val="5F641CB7"/>
    <w:rsid w:val="5FBB6B20"/>
    <w:rsid w:val="60081CAE"/>
    <w:rsid w:val="60A86070"/>
    <w:rsid w:val="61D46FF0"/>
    <w:rsid w:val="6284160B"/>
    <w:rsid w:val="62C53D40"/>
    <w:rsid w:val="62E01369"/>
    <w:rsid w:val="65871669"/>
    <w:rsid w:val="662B430D"/>
    <w:rsid w:val="681F71B9"/>
    <w:rsid w:val="685D5D9A"/>
    <w:rsid w:val="68B04193"/>
    <w:rsid w:val="690A5D96"/>
    <w:rsid w:val="6995504F"/>
    <w:rsid w:val="6ADD3871"/>
    <w:rsid w:val="6B2057A2"/>
    <w:rsid w:val="6B612A39"/>
    <w:rsid w:val="6C8D0471"/>
    <w:rsid w:val="6CF65B43"/>
    <w:rsid w:val="6D3A128E"/>
    <w:rsid w:val="6D427FA3"/>
    <w:rsid w:val="6DA87587"/>
    <w:rsid w:val="6DDA1EE8"/>
    <w:rsid w:val="6F18683E"/>
    <w:rsid w:val="7074712E"/>
    <w:rsid w:val="717B717A"/>
    <w:rsid w:val="71EC0320"/>
    <w:rsid w:val="74534466"/>
    <w:rsid w:val="74795229"/>
    <w:rsid w:val="74F512D6"/>
    <w:rsid w:val="75BC2E6D"/>
    <w:rsid w:val="763B46F3"/>
    <w:rsid w:val="78C9678F"/>
    <w:rsid w:val="7A0D13D6"/>
    <w:rsid w:val="7A7865E0"/>
    <w:rsid w:val="7B3A05A2"/>
    <w:rsid w:val="7B8A4AB6"/>
    <w:rsid w:val="7BCA718C"/>
    <w:rsid w:val="7C2604AC"/>
    <w:rsid w:val="7C4F7380"/>
    <w:rsid w:val="7CAF069E"/>
    <w:rsid w:val="7CE43C6A"/>
    <w:rsid w:val="7D517BA4"/>
    <w:rsid w:val="7D8A4E6E"/>
    <w:rsid w:val="7DBB5426"/>
    <w:rsid w:val="7E7B16B6"/>
    <w:rsid w:val="7E9D7BED"/>
    <w:rsid w:val="7F6F32CA"/>
    <w:rsid w:val="7F923C7F"/>
    <w:rsid w:val="7FB12A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ind w:firstLine="200" w:firstLineChars="200"/>
      <w:outlineLvl w:val="0"/>
    </w:pPr>
    <w:rPr>
      <w:rFonts w:ascii="Calibri" w:hAnsi="Calibri" w:cs="黑体"/>
      <w:b/>
      <w:bCs/>
      <w:kern w:val="44"/>
      <w:sz w:val="44"/>
      <w:szCs w:val="44"/>
    </w:rPr>
  </w:style>
  <w:style w:type="paragraph" w:styleId="3">
    <w:name w:val="heading 2"/>
    <w:basedOn w:val="1"/>
    <w:next w:val="1"/>
    <w:link w:val="36"/>
    <w:unhideWhenUsed/>
    <w:qFormat/>
    <w:uiPriority w:val="0"/>
    <w:pPr>
      <w:keepNext/>
      <w:keepLines/>
      <w:spacing w:before="260" w:after="260" w:line="416" w:lineRule="auto"/>
      <w:outlineLvl w:val="1"/>
    </w:pPr>
    <w:rPr>
      <w:rFonts w:ascii="Cambria" w:hAnsi="Cambria" w:cs="黑体"/>
      <w:b/>
      <w:bCs/>
      <w:sz w:val="32"/>
      <w:szCs w:val="32"/>
    </w:rPr>
  </w:style>
  <w:style w:type="paragraph" w:styleId="4">
    <w:name w:val="heading 3"/>
    <w:basedOn w:val="1"/>
    <w:next w:val="1"/>
    <w:qFormat/>
    <w:uiPriority w:val="0"/>
    <w:pPr>
      <w:keepNext/>
      <w:keepLines/>
      <w:spacing w:before="260" w:after="260" w:line="416" w:lineRule="auto"/>
      <w:outlineLvl w:val="2"/>
    </w:pPr>
    <w:rPr>
      <w:b/>
      <w:sz w:val="32"/>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style>
  <w:style w:type="paragraph" w:styleId="6">
    <w:name w:val="Salutation"/>
    <w:basedOn w:val="1"/>
    <w:next w:val="1"/>
    <w:qFormat/>
    <w:uiPriority w:val="0"/>
    <w:rPr>
      <w:sz w:val="28"/>
    </w:rPr>
  </w:style>
  <w:style w:type="paragraph" w:styleId="7">
    <w:name w:val="Body Text 3"/>
    <w:basedOn w:val="1"/>
    <w:qFormat/>
    <w:uiPriority w:val="0"/>
    <w:pPr>
      <w:jc w:val="center"/>
    </w:pPr>
    <w:rPr>
      <w:bCs/>
      <w:sz w:val="44"/>
    </w:rPr>
  </w:style>
  <w:style w:type="paragraph" w:styleId="8">
    <w:name w:val="Body Text"/>
    <w:basedOn w:val="1"/>
    <w:qFormat/>
    <w:uiPriority w:val="0"/>
    <w:pPr>
      <w:spacing w:line="0" w:lineRule="atLeast"/>
    </w:pPr>
    <w:rPr>
      <w:rFonts w:ascii="仿宋_GB2312" w:eastAsia="仿宋_GB2312"/>
      <w:sz w:val="10"/>
    </w:rPr>
  </w:style>
  <w:style w:type="paragraph" w:styleId="9">
    <w:name w:val="Body Text Indent"/>
    <w:basedOn w:val="1"/>
    <w:qFormat/>
    <w:uiPriority w:val="0"/>
    <w:pPr>
      <w:spacing w:line="680" w:lineRule="exact"/>
      <w:ind w:firstLine="645"/>
    </w:pPr>
    <w:rPr>
      <w:rFonts w:ascii="仿宋_GB2312" w:eastAsia="仿宋_GB2312"/>
      <w:sz w:val="32"/>
    </w:rPr>
  </w:style>
  <w:style w:type="paragraph" w:styleId="10">
    <w:name w:val="toc 3"/>
    <w:basedOn w:val="1"/>
    <w:next w:val="1"/>
    <w:qFormat/>
    <w:uiPriority w:val="0"/>
    <w:pPr>
      <w:ind w:left="840" w:leftChars="400"/>
    </w:pPr>
  </w:style>
  <w:style w:type="paragraph" w:styleId="11">
    <w:name w:val="Date"/>
    <w:basedOn w:val="1"/>
    <w:next w:val="1"/>
    <w:link w:val="33"/>
    <w:qFormat/>
    <w:uiPriority w:val="0"/>
    <w:rPr>
      <w:rFonts w:ascii="仿宋_GB2312" w:eastAsia="仿宋_GB2312"/>
      <w:sz w:val="32"/>
    </w:rPr>
  </w:style>
  <w:style w:type="paragraph" w:styleId="12">
    <w:name w:val="Body Text Indent 2"/>
    <w:basedOn w:val="1"/>
    <w:qFormat/>
    <w:uiPriority w:val="0"/>
    <w:pPr>
      <w:spacing w:line="0" w:lineRule="atLeast"/>
      <w:ind w:firstLine="570"/>
    </w:pPr>
    <w:rPr>
      <w:rFonts w:ascii="仿宋_GB2312" w:eastAsia="仿宋_GB2312"/>
      <w:sz w:val="32"/>
    </w:rPr>
  </w:style>
  <w:style w:type="paragraph" w:styleId="13">
    <w:name w:val="Balloon Text"/>
    <w:basedOn w:val="1"/>
    <w:link w:val="32"/>
    <w:qFormat/>
    <w:uiPriority w:val="0"/>
    <w:rPr>
      <w:sz w:val="18"/>
      <w:szCs w:val="18"/>
    </w:rPr>
  </w:style>
  <w:style w:type="paragraph" w:styleId="14">
    <w:name w:val="footer"/>
    <w:basedOn w:val="1"/>
    <w:link w:val="34"/>
    <w:qFormat/>
    <w:uiPriority w:val="99"/>
    <w:pPr>
      <w:tabs>
        <w:tab w:val="center" w:pos="4153"/>
        <w:tab w:val="right" w:pos="8306"/>
      </w:tabs>
      <w:snapToGrid w:val="0"/>
      <w:jc w:val="left"/>
    </w:pPr>
    <w:rPr>
      <w:sz w:val="18"/>
    </w:rPr>
  </w:style>
  <w:style w:type="paragraph" w:styleId="15">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6">
    <w:name w:val="Subtitle"/>
    <w:basedOn w:val="1"/>
    <w:next w:val="1"/>
    <w:link w:val="39"/>
    <w:qFormat/>
    <w:uiPriority w:val="0"/>
    <w:pPr>
      <w:spacing w:before="240" w:after="60" w:line="312" w:lineRule="auto"/>
      <w:jc w:val="center"/>
      <w:outlineLvl w:val="1"/>
    </w:pPr>
    <w:rPr>
      <w:rFonts w:ascii="Cambria" w:hAnsi="Cambria"/>
      <w:b/>
      <w:bCs/>
      <w:kern w:val="28"/>
      <w:sz w:val="32"/>
      <w:szCs w:val="32"/>
    </w:rPr>
  </w:style>
  <w:style w:type="paragraph" w:styleId="17">
    <w:name w:val="footnote text"/>
    <w:basedOn w:val="1"/>
    <w:semiHidden/>
    <w:qFormat/>
    <w:uiPriority w:val="0"/>
    <w:pPr>
      <w:snapToGrid w:val="0"/>
      <w:jc w:val="left"/>
    </w:pPr>
    <w:rPr>
      <w:sz w:val="18"/>
      <w:szCs w:val="18"/>
    </w:rPr>
  </w:style>
  <w:style w:type="paragraph" w:styleId="18">
    <w:name w:val="Body Text Indent 3"/>
    <w:basedOn w:val="1"/>
    <w:qFormat/>
    <w:uiPriority w:val="0"/>
    <w:pPr>
      <w:spacing w:after="120"/>
      <w:ind w:left="420" w:leftChars="200"/>
    </w:pPr>
    <w:rPr>
      <w:sz w:val="16"/>
      <w:szCs w:val="16"/>
    </w:rPr>
  </w:style>
  <w:style w:type="paragraph" w:styleId="19">
    <w:name w:val="Body Text 2"/>
    <w:basedOn w:val="1"/>
    <w:qFormat/>
    <w:uiPriority w:val="0"/>
    <w:rPr>
      <w:rFonts w:eastAsia="仿宋_GB2312"/>
      <w:sz w:val="32"/>
    </w:rPr>
  </w:style>
  <w:style w:type="paragraph" w:styleId="2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21">
    <w:name w:val="Title"/>
    <w:basedOn w:val="1"/>
    <w:next w:val="1"/>
    <w:qFormat/>
    <w:uiPriority w:val="10"/>
    <w:pPr>
      <w:spacing w:before="240" w:after="60"/>
      <w:jc w:val="center"/>
      <w:outlineLvl w:val="0"/>
    </w:pPr>
    <w:rPr>
      <w:rFonts w:asciiTheme="majorHAnsi" w:hAnsiTheme="majorHAnsi" w:cstheme="majorBidi"/>
      <w:b/>
      <w:bCs/>
      <w:sz w:val="32"/>
      <w:szCs w:val="32"/>
    </w:rPr>
  </w:style>
  <w:style w:type="table" w:styleId="23">
    <w:name w:val="Table Grid"/>
    <w:basedOn w:val="22"/>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Strong"/>
    <w:basedOn w:val="24"/>
    <w:qFormat/>
    <w:uiPriority w:val="0"/>
    <w:rPr>
      <w:b/>
      <w:bCs/>
    </w:rPr>
  </w:style>
  <w:style w:type="character" w:styleId="26">
    <w:name w:val="page number"/>
    <w:basedOn w:val="24"/>
    <w:qFormat/>
    <w:uiPriority w:val="0"/>
  </w:style>
  <w:style w:type="character" w:styleId="27">
    <w:name w:val="Emphasis"/>
    <w:basedOn w:val="24"/>
    <w:qFormat/>
    <w:uiPriority w:val="0"/>
    <w:rPr>
      <w:i/>
      <w:iCs/>
    </w:rPr>
  </w:style>
  <w:style w:type="character" w:styleId="28">
    <w:name w:val="Hyperlink"/>
    <w:basedOn w:val="24"/>
    <w:qFormat/>
    <w:uiPriority w:val="0"/>
    <w:rPr>
      <w:color w:val="0000FF"/>
      <w:u w:val="single"/>
    </w:rPr>
  </w:style>
  <w:style w:type="character" w:styleId="29">
    <w:name w:val="footnote reference"/>
    <w:basedOn w:val="24"/>
    <w:semiHidden/>
    <w:qFormat/>
    <w:uiPriority w:val="0"/>
    <w:rPr>
      <w:vertAlign w:val="superscript"/>
    </w:rPr>
  </w:style>
  <w:style w:type="paragraph" w:customStyle="1" w:styleId="30">
    <w:name w:val="列出段落1"/>
    <w:basedOn w:val="1"/>
    <w:qFormat/>
    <w:uiPriority w:val="0"/>
    <w:pPr>
      <w:spacing w:line="360" w:lineRule="auto"/>
      <w:ind w:firstLine="420" w:firstLineChars="200"/>
    </w:pPr>
    <w:rPr>
      <w:rFonts w:ascii="Calibri" w:hAnsi="Calibri" w:cs="黑体"/>
      <w:szCs w:val="22"/>
    </w:rPr>
  </w:style>
  <w:style w:type="paragraph" w:customStyle="1" w:styleId="31">
    <w:name w:val="列出段落11"/>
    <w:basedOn w:val="1"/>
    <w:qFormat/>
    <w:uiPriority w:val="0"/>
    <w:pPr>
      <w:ind w:firstLine="420" w:firstLineChars="200"/>
    </w:pPr>
    <w:rPr>
      <w:rFonts w:ascii="Calibri" w:hAnsi="Calibri" w:cs="Calibri"/>
      <w:szCs w:val="21"/>
    </w:rPr>
  </w:style>
  <w:style w:type="character" w:customStyle="1" w:styleId="32">
    <w:name w:val="批注框文本 字符"/>
    <w:basedOn w:val="24"/>
    <w:link w:val="13"/>
    <w:qFormat/>
    <w:uiPriority w:val="0"/>
    <w:rPr>
      <w:kern w:val="2"/>
      <w:sz w:val="18"/>
      <w:szCs w:val="18"/>
    </w:rPr>
  </w:style>
  <w:style w:type="character" w:customStyle="1" w:styleId="33">
    <w:name w:val="日期 字符"/>
    <w:link w:val="11"/>
    <w:qFormat/>
    <w:uiPriority w:val="0"/>
    <w:rPr>
      <w:rFonts w:ascii="仿宋_GB2312" w:eastAsia="仿宋_GB2312"/>
      <w:kern w:val="2"/>
      <w:sz w:val="32"/>
    </w:rPr>
  </w:style>
  <w:style w:type="character" w:customStyle="1" w:styleId="34">
    <w:name w:val="页脚 字符"/>
    <w:link w:val="14"/>
    <w:qFormat/>
    <w:uiPriority w:val="99"/>
    <w:rPr>
      <w:kern w:val="2"/>
      <w:sz w:val="18"/>
    </w:rPr>
  </w:style>
  <w:style w:type="character" w:customStyle="1" w:styleId="35">
    <w:name w:val="页眉 字符"/>
    <w:basedOn w:val="24"/>
    <w:link w:val="15"/>
    <w:qFormat/>
    <w:uiPriority w:val="99"/>
    <w:rPr>
      <w:kern w:val="2"/>
      <w:sz w:val="18"/>
      <w:szCs w:val="18"/>
    </w:rPr>
  </w:style>
  <w:style w:type="character" w:customStyle="1" w:styleId="36">
    <w:name w:val="标题 2 字符"/>
    <w:basedOn w:val="24"/>
    <w:link w:val="3"/>
    <w:semiHidden/>
    <w:qFormat/>
    <w:uiPriority w:val="0"/>
    <w:rPr>
      <w:rFonts w:ascii="Cambria" w:hAnsi="Cambria" w:eastAsia="宋体" w:cs="黑体"/>
      <w:b/>
      <w:bCs/>
      <w:kern w:val="2"/>
      <w:sz w:val="32"/>
      <w:szCs w:val="32"/>
    </w:rPr>
  </w:style>
  <w:style w:type="character" w:customStyle="1" w:styleId="37">
    <w:name w:val="标题 1 字符"/>
    <w:basedOn w:val="24"/>
    <w:link w:val="2"/>
    <w:qFormat/>
    <w:uiPriority w:val="9"/>
    <w:rPr>
      <w:rFonts w:ascii="Calibri" w:hAnsi="Calibri" w:eastAsia="宋体" w:cs="黑体"/>
      <w:b/>
      <w:bCs/>
      <w:kern w:val="44"/>
      <w:sz w:val="44"/>
      <w:szCs w:val="44"/>
    </w:rPr>
  </w:style>
  <w:style w:type="paragraph" w:customStyle="1" w:styleId="38">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character" w:customStyle="1" w:styleId="39">
    <w:name w:val="副标题 字符"/>
    <w:basedOn w:val="24"/>
    <w:link w:val="16"/>
    <w:qFormat/>
    <w:uiPriority w:val="0"/>
    <w:rPr>
      <w:rFonts w:ascii="Cambria" w:hAnsi="Cambria"/>
      <w:b/>
      <w:bCs/>
      <w:kern w:val="28"/>
      <w:sz w:val="32"/>
      <w:szCs w:val="32"/>
    </w:rPr>
  </w:style>
  <w:style w:type="paragraph" w:customStyle="1" w:styleId="40">
    <w:name w:val="列出段落2"/>
    <w:basedOn w:val="1"/>
    <w:qFormat/>
    <w:uiPriority w:val="99"/>
    <w:pPr>
      <w:ind w:firstLine="420" w:firstLineChars="200"/>
    </w:pPr>
    <w:rPr>
      <w:szCs w:val="21"/>
    </w:rPr>
  </w:style>
  <w:style w:type="paragraph" w:customStyle="1" w:styleId="41">
    <w:name w:val="无间隔1"/>
    <w:qFormat/>
    <w:uiPriority w:val="1"/>
    <w:pPr>
      <w:widowControl w:val="0"/>
      <w:jc w:val="both"/>
    </w:pPr>
    <w:rPr>
      <w:rFonts w:ascii="宋体" w:hAnsi="Times New Roman" w:eastAsia="宋体" w:cs="Times New Roman"/>
      <w:kern w:val="2"/>
      <w:sz w:val="28"/>
      <w:szCs w:val="32"/>
      <w:lang w:val="en-US" w:eastAsia="zh-CN" w:bidi="ar-SA"/>
    </w:rPr>
  </w:style>
  <w:style w:type="paragraph" w:customStyle="1" w:styleId="42">
    <w:name w:val="HTML Address1"/>
    <w:basedOn w:val="1"/>
    <w:next w:val="14"/>
    <w:qFormat/>
    <w:uiPriority w:val="0"/>
    <w:rPr>
      <w:i/>
      <w:iCs/>
    </w:rPr>
  </w:style>
  <w:style w:type="table" w:customStyle="1" w:styleId="43">
    <w:name w:val="网格型2"/>
    <w:basedOn w:val="22"/>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AB84DC-3394-4408-9E24-A4CA0F7A5642}">
  <ds:schemaRefs/>
</ds:datastoreItem>
</file>

<file path=docProps/app.xml><?xml version="1.0" encoding="utf-8"?>
<Properties xmlns="http://schemas.openxmlformats.org/officeDocument/2006/extended-properties" xmlns:vt="http://schemas.openxmlformats.org/officeDocument/2006/docPropsVTypes">
  <Template>Normal</Template>
  <Company>沐泽科技发展公司</Company>
  <Pages>9</Pages>
  <Words>3736</Words>
  <Characters>3885</Characters>
  <Lines>90</Lines>
  <Paragraphs>25</Paragraphs>
  <TotalTime>3</TotalTime>
  <ScaleCrop>false</ScaleCrop>
  <LinksUpToDate>false</LinksUpToDate>
  <CharactersWithSpaces>3917</CharactersWithSpaces>
  <Application>WPS Office_11.1.0.12650_F1E327BC-269C-435d-A152-05C5408002CA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2022-02-21T07:29:00Z</dcterms:created>
  <dc:creator>沐泽电脑</dc:creator>
  <cp:lastModifiedBy>马献伟</cp:lastModifiedBy>
  <cp:lastPrinted>2023-01-06T08:52:24Z</cp:lastPrinted>
  <dcterms:modified xsi:type="dcterms:W3CDTF">2023-01-06T08:53:14Z</dcterms:modified>
  <dc:title>京教院发〔2002〕1号</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Print1">
    <vt:bool>true</vt:bool>
  </property>
  <property fmtid="{D5CDD505-2E9C-101B-9397-08002B2CF9AE}" pid="3" name="KSOProductBuildVer">
    <vt:lpwstr>2052-11.1.0.12650</vt:lpwstr>
  </property>
  <property fmtid="{D5CDD505-2E9C-101B-9397-08002B2CF9AE}" pid="4" name="ICV">
    <vt:lpwstr>88BE256D8E164C23B8A51FFBB5872949</vt:lpwstr>
  </property>
</Properties>
</file>