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color w:val="000000"/>
          <w:sz w:val="36"/>
          <w:szCs w:val="36"/>
        </w:rPr>
      </w:pPr>
      <w:r>
        <w:rPr>
          <w:rFonts w:hint="eastAsia" w:ascii="宋体" w:hAnsi="宋体" w:eastAsia="宋体"/>
          <w:b/>
          <w:color w:val="000000"/>
          <w:sz w:val="36"/>
          <w:szCs w:val="36"/>
        </w:rPr>
        <w:t>北京教育学院</w:t>
      </w:r>
      <w:r>
        <w:rPr>
          <w:rFonts w:ascii="宋体" w:hAnsi="宋体" w:eastAsia="宋体"/>
          <w:b/>
          <w:color w:val="000000"/>
          <w:sz w:val="36"/>
          <w:szCs w:val="36"/>
        </w:rPr>
        <w:t>201</w:t>
      </w:r>
      <w:r>
        <w:rPr>
          <w:rFonts w:hint="eastAsia" w:ascii="宋体" w:hAnsi="宋体" w:eastAsia="宋体"/>
          <w:b/>
          <w:color w:val="000000"/>
          <w:sz w:val="36"/>
          <w:szCs w:val="36"/>
        </w:rPr>
        <w:t>8年度科研课题指南</w:t>
      </w:r>
    </w:p>
    <w:p>
      <w:pPr>
        <w:spacing w:line="560" w:lineRule="exact"/>
        <w:rPr>
          <w:rFonts w:ascii="宋体" w:hAnsi="宋体" w:eastAsia="宋体"/>
          <w:b/>
          <w:color w:val="000000"/>
          <w:sz w:val="36"/>
          <w:szCs w:val="36"/>
        </w:rPr>
      </w:pPr>
    </w:p>
    <w:p>
      <w:pPr>
        <w:tabs>
          <w:tab w:val="left" w:pos="420"/>
        </w:tabs>
        <w:spacing w:line="560" w:lineRule="exact"/>
        <w:ind w:firstLine="560" w:firstLineChars="200"/>
        <w:rPr>
          <w:rFonts w:ascii="仿宋" w:hAnsi="仿宋" w:eastAsia="仿宋"/>
          <w:color w:val="000000"/>
          <w:sz w:val="32"/>
          <w:szCs w:val="32"/>
        </w:rPr>
      </w:pPr>
      <w:r>
        <w:rPr>
          <w:rFonts w:hint="eastAsia" w:ascii="宋体" w:hAnsi="宋体" w:eastAsia="宋体"/>
          <w:kern w:val="2"/>
          <w:sz w:val="28"/>
          <w:szCs w:val="28"/>
        </w:rPr>
        <w:t>为贯彻落实《北京市“十三五”期间教育科学研究规划纲要》、《北京教育学院“十三五”发展规划纲要》和北京教育学院 第三次“党代会”精神，密切关注和深入研究基础教育综合改革过程的重点、难点和热点问题，优化学术研究工作，提升“研训一体”水平，增强学院核心竞争力，特制定北京教育学院2018年度科研课题指南。</w:t>
      </w:r>
    </w:p>
    <w:p>
      <w:pPr>
        <w:widowControl w:val="0"/>
        <w:numPr>
          <w:ilvl w:val="0"/>
          <w:numId w:val="1"/>
        </w:numPr>
        <w:tabs>
          <w:tab w:val="left" w:pos="420"/>
        </w:tabs>
        <w:adjustRightInd/>
        <w:snapToGrid/>
        <w:spacing w:after="0" w:line="560" w:lineRule="exact"/>
        <w:jc w:val="both"/>
        <w:rPr>
          <w:rFonts w:ascii="黑体" w:hAnsi="黑体" w:eastAsia="黑体"/>
          <w:b/>
          <w:color w:val="000000"/>
          <w:sz w:val="32"/>
          <w:szCs w:val="32"/>
        </w:rPr>
      </w:pPr>
      <w:r>
        <w:rPr>
          <w:rFonts w:hint="eastAsia" w:ascii="黑体" w:hAnsi="黑体" w:eastAsia="黑体"/>
          <w:b/>
          <w:color w:val="000000"/>
          <w:sz w:val="32"/>
          <w:szCs w:val="32"/>
        </w:rPr>
        <w:t>重大课题</w:t>
      </w:r>
    </w:p>
    <w:p>
      <w:pPr>
        <w:pStyle w:val="4"/>
        <w:numPr>
          <w:ilvl w:val="0"/>
          <w:numId w:val="2"/>
        </w:numPr>
        <w:tabs>
          <w:tab w:val="left" w:pos="420"/>
        </w:tabs>
        <w:spacing w:line="560" w:lineRule="exact"/>
        <w:ind w:firstLineChars="0"/>
        <w:rPr>
          <w:rFonts w:ascii="宋体" w:hAnsi="宋体"/>
          <w:sz w:val="28"/>
          <w:szCs w:val="28"/>
        </w:rPr>
      </w:pPr>
      <w:r>
        <w:rPr>
          <w:rFonts w:hint="eastAsia" w:ascii="宋体" w:hAnsi="宋体"/>
          <w:sz w:val="28"/>
          <w:szCs w:val="28"/>
        </w:rPr>
        <w:t>新时代首都基础教育教学改革与中小学教师培训体系建构研究</w:t>
      </w:r>
    </w:p>
    <w:p>
      <w:pPr>
        <w:pStyle w:val="4"/>
        <w:numPr>
          <w:ilvl w:val="0"/>
          <w:numId w:val="2"/>
        </w:numPr>
        <w:tabs>
          <w:tab w:val="left" w:pos="420"/>
        </w:tabs>
        <w:spacing w:line="560" w:lineRule="exact"/>
        <w:ind w:firstLineChars="0"/>
        <w:rPr>
          <w:rFonts w:ascii="宋体" w:hAnsi="宋体"/>
          <w:sz w:val="28"/>
          <w:szCs w:val="28"/>
        </w:rPr>
      </w:pPr>
      <w:r>
        <w:rPr>
          <w:rFonts w:hint="eastAsia" w:ascii="宋体" w:hAnsi="宋体"/>
          <w:sz w:val="28"/>
          <w:szCs w:val="28"/>
        </w:rPr>
        <w:t>基于学生关键能力培育的中小学教师队伍建设的实践策略研究</w:t>
      </w:r>
    </w:p>
    <w:p>
      <w:pPr>
        <w:numPr>
          <w:ilvl w:val="0"/>
          <w:numId w:val="2"/>
        </w:numPr>
        <w:tabs>
          <w:tab w:val="left" w:pos="420"/>
        </w:tabs>
        <w:spacing w:line="560" w:lineRule="exact"/>
        <w:rPr>
          <w:rFonts w:ascii="宋体" w:hAnsi="宋体" w:eastAsia="宋体"/>
          <w:kern w:val="2"/>
          <w:sz w:val="28"/>
          <w:szCs w:val="28"/>
        </w:rPr>
      </w:pPr>
      <w:r>
        <w:rPr>
          <w:rFonts w:hint="eastAsia" w:ascii="宋体" w:hAnsi="宋体" w:eastAsia="宋体"/>
          <w:kern w:val="2"/>
          <w:sz w:val="28"/>
          <w:szCs w:val="28"/>
        </w:rPr>
        <w:t>人工智能与中小学学科教学改进研究</w:t>
      </w:r>
    </w:p>
    <w:p>
      <w:pPr>
        <w:tabs>
          <w:tab w:val="left" w:pos="420"/>
        </w:tabs>
        <w:spacing w:line="56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二、重点关注课题</w:t>
      </w:r>
    </w:p>
    <w:p>
      <w:pPr>
        <w:spacing w:line="560" w:lineRule="exact"/>
        <w:ind w:firstLine="560" w:firstLineChars="200"/>
        <w:rPr>
          <w:b/>
          <w:sz w:val="28"/>
          <w:szCs w:val="28"/>
        </w:rPr>
      </w:pPr>
      <w:r>
        <w:rPr>
          <w:rFonts w:hint="eastAsia"/>
          <w:b/>
          <w:sz w:val="28"/>
          <w:szCs w:val="28"/>
        </w:rPr>
        <w:t>领域1：校长、教师学习与专业成长研究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中小学教师有效学习研究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中小学新任教师专业成长规律与培训策略研究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中小学卓越教师专业成长规律与培训策略研究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乡村教师专业成长与培训策略研究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名校长专业成长规律与培养策略研究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中小学校长、教师培训实践共同体建设研究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培训者与被培训者的良性互动关系研究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中小学教师培训实践转化的影响因素与路径研究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中小学教师工作负担与工作质量提升研究</w:t>
      </w:r>
    </w:p>
    <w:p>
      <w:pPr>
        <w:pStyle w:val="4"/>
        <w:numPr>
          <w:ilvl w:val="0"/>
          <w:numId w:val="3"/>
        </w:numPr>
        <w:tabs>
          <w:tab w:val="left" w:pos="420"/>
        </w:tabs>
        <w:spacing w:line="560" w:lineRule="exact"/>
        <w:ind w:firstLineChars="0"/>
        <w:rPr>
          <w:rFonts w:ascii="宋体" w:hAnsi="宋体"/>
          <w:sz w:val="28"/>
          <w:szCs w:val="28"/>
        </w:rPr>
      </w:pPr>
      <w:r>
        <w:rPr>
          <w:rFonts w:hint="eastAsia" w:ascii="宋体" w:hAnsi="宋体"/>
          <w:sz w:val="28"/>
          <w:szCs w:val="28"/>
        </w:rPr>
        <w:t>中小学教师培训的国际比较与趋势研究</w:t>
      </w:r>
    </w:p>
    <w:p>
      <w:pPr>
        <w:spacing w:line="560" w:lineRule="exact"/>
        <w:ind w:firstLine="560" w:firstLineChars="200"/>
        <w:rPr>
          <w:b/>
          <w:sz w:val="28"/>
          <w:szCs w:val="28"/>
        </w:rPr>
      </w:pPr>
      <w:r>
        <w:rPr>
          <w:rFonts w:hint="eastAsia"/>
          <w:b/>
          <w:sz w:val="28"/>
          <w:szCs w:val="28"/>
        </w:rPr>
        <w:t>领域2：课程、教学与德育研究</w:t>
      </w:r>
    </w:p>
    <w:p>
      <w:pPr>
        <w:pStyle w:val="4"/>
        <w:numPr>
          <w:ilvl w:val="0"/>
          <w:numId w:val="4"/>
        </w:numPr>
        <w:tabs>
          <w:tab w:val="left" w:pos="420"/>
        </w:tabs>
        <w:spacing w:line="560" w:lineRule="exact"/>
        <w:ind w:firstLineChars="0"/>
        <w:rPr>
          <w:rFonts w:ascii="宋体" w:hAnsi="宋体"/>
          <w:sz w:val="28"/>
          <w:szCs w:val="28"/>
        </w:rPr>
      </w:pPr>
      <w:r>
        <w:rPr>
          <w:rFonts w:hint="eastAsia" w:ascii="宋体" w:hAnsi="宋体"/>
          <w:sz w:val="28"/>
          <w:szCs w:val="28"/>
        </w:rPr>
        <w:t>中小幼一体化德育的整体构建与实践路径研究</w:t>
      </w:r>
    </w:p>
    <w:p>
      <w:pPr>
        <w:pStyle w:val="4"/>
        <w:numPr>
          <w:ilvl w:val="0"/>
          <w:numId w:val="4"/>
        </w:numPr>
        <w:tabs>
          <w:tab w:val="left" w:pos="420"/>
        </w:tabs>
        <w:spacing w:line="560" w:lineRule="exact"/>
        <w:ind w:firstLineChars="0"/>
        <w:rPr>
          <w:rFonts w:ascii="宋体" w:hAnsi="宋体"/>
          <w:sz w:val="28"/>
          <w:szCs w:val="28"/>
        </w:rPr>
      </w:pPr>
      <w:r>
        <w:rPr>
          <w:rFonts w:hint="eastAsia" w:ascii="宋体" w:hAnsi="宋体"/>
          <w:sz w:val="28"/>
          <w:szCs w:val="28"/>
        </w:rPr>
        <w:t>中小学课程衔接和学段内课程整合的理论与实践研究</w:t>
      </w:r>
    </w:p>
    <w:p>
      <w:pPr>
        <w:pStyle w:val="4"/>
        <w:numPr>
          <w:ilvl w:val="0"/>
          <w:numId w:val="4"/>
        </w:numPr>
        <w:tabs>
          <w:tab w:val="left" w:pos="420"/>
        </w:tabs>
        <w:spacing w:line="560" w:lineRule="exact"/>
        <w:ind w:firstLineChars="0"/>
        <w:rPr>
          <w:rFonts w:ascii="宋体" w:hAnsi="宋体"/>
          <w:sz w:val="28"/>
          <w:szCs w:val="28"/>
        </w:rPr>
      </w:pPr>
      <w:r>
        <w:rPr>
          <w:rFonts w:hint="eastAsia" w:ascii="宋体" w:hAnsi="宋体"/>
          <w:sz w:val="28"/>
          <w:szCs w:val="28"/>
        </w:rPr>
        <w:t>基于学生关键能力培育的中小学课程体系建构研究</w:t>
      </w:r>
    </w:p>
    <w:p>
      <w:pPr>
        <w:pStyle w:val="4"/>
        <w:numPr>
          <w:ilvl w:val="0"/>
          <w:numId w:val="4"/>
        </w:numPr>
        <w:tabs>
          <w:tab w:val="left" w:pos="420"/>
        </w:tabs>
        <w:spacing w:line="560" w:lineRule="exact"/>
        <w:ind w:firstLineChars="0"/>
        <w:rPr>
          <w:rFonts w:ascii="宋体" w:hAnsi="宋体"/>
          <w:sz w:val="28"/>
          <w:szCs w:val="28"/>
        </w:rPr>
      </w:pPr>
      <w:r>
        <w:rPr>
          <w:rFonts w:hint="eastAsia" w:ascii="宋体" w:hAnsi="宋体"/>
          <w:sz w:val="28"/>
          <w:szCs w:val="28"/>
        </w:rPr>
        <w:t>基于学生关键能力培育的中小学学科教学改进研究</w:t>
      </w:r>
    </w:p>
    <w:p>
      <w:pPr>
        <w:pStyle w:val="4"/>
        <w:numPr>
          <w:ilvl w:val="0"/>
          <w:numId w:val="4"/>
        </w:numPr>
        <w:tabs>
          <w:tab w:val="left" w:pos="420"/>
        </w:tabs>
        <w:spacing w:line="560" w:lineRule="exact"/>
        <w:ind w:firstLineChars="0"/>
        <w:rPr>
          <w:rFonts w:ascii="宋体" w:hAnsi="宋体"/>
          <w:sz w:val="28"/>
          <w:szCs w:val="28"/>
        </w:rPr>
      </w:pPr>
      <w:r>
        <w:rPr>
          <w:rFonts w:hint="eastAsia" w:ascii="宋体" w:hAnsi="宋体"/>
          <w:sz w:val="28"/>
          <w:szCs w:val="28"/>
        </w:rPr>
        <w:t>中小学艺术教育的实践策略研究</w:t>
      </w:r>
    </w:p>
    <w:p>
      <w:pPr>
        <w:spacing w:line="560" w:lineRule="exact"/>
        <w:ind w:left="560"/>
        <w:rPr>
          <w:b/>
          <w:sz w:val="28"/>
          <w:szCs w:val="28"/>
        </w:rPr>
      </w:pPr>
      <w:r>
        <w:rPr>
          <w:rFonts w:hint="eastAsia"/>
          <w:b/>
          <w:sz w:val="28"/>
          <w:szCs w:val="28"/>
        </w:rPr>
        <w:t>领域3：学生学习与成长研究</w:t>
      </w:r>
    </w:p>
    <w:p>
      <w:pPr>
        <w:pStyle w:val="4"/>
        <w:numPr>
          <w:ilvl w:val="0"/>
          <w:numId w:val="5"/>
        </w:numPr>
        <w:tabs>
          <w:tab w:val="left" w:pos="420"/>
        </w:tabs>
        <w:spacing w:line="560" w:lineRule="exact"/>
        <w:ind w:firstLineChars="0"/>
        <w:rPr>
          <w:rFonts w:ascii="宋体" w:hAnsi="宋体"/>
          <w:sz w:val="28"/>
          <w:szCs w:val="28"/>
        </w:rPr>
      </w:pPr>
      <w:r>
        <w:rPr>
          <w:rFonts w:hint="eastAsia" w:ascii="宋体" w:hAnsi="宋体"/>
          <w:sz w:val="28"/>
          <w:szCs w:val="28"/>
        </w:rPr>
        <w:t>中小学生项目式学习研究</w:t>
      </w:r>
    </w:p>
    <w:p>
      <w:pPr>
        <w:pStyle w:val="4"/>
        <w:numPr>
          <w:ilvl w:val="0"/>
          <w:numId w:val="5"/>
        </w:numPr>
        <w:tabs>
          <w:tab w:val="left" w:pos="420"/>
        </w:tabs>
        <w:spacing w:line="560" w:lineRule="exact"/>
        <w:ind w:firstLineChars="0"/>
        <w:rPr>
          <w:rFonts w:ascii="宋体" w:hAnsi="宋体"/>
          <w:sz w:val="28"/>
          <w:szCs w:val="28"/>
        </w:rPr>
      </w:pPr>
      <w:r>
        <w:rPr>
          <w:rFonts w:hint="eastAsia" w:ascii="宋体" w:hAnsi="宋体"/>
          <w:sz w:val="28"/>
          <w:szCs w:val="28"/>
        </w:rPr>
        <w:t>中小学生个性化学习研究</w:t>
      </w:r>
    </w:p>
    <w:p>
      <w:pPr>
        <w:pStyle w:val="4"/>
        <w:numPr>
          <w:ilvl w:val="0"/>
          <w:numId w:val="5"/>
        </w:numPr>
        <w:tabs>
          <w:tab w:val="left" w:pos="420"/>
        </w:tabs>
        <w:spacing w:line="560" w:lineRule="exact"/>
        <w:ind w:firstLineChars="0"/>
        <w:rPr>
          <w:rFonts w:ascii="宋体" w:hAnsi="宋体"/>
          <w:sz w:val="28"/>
          <w:szCs w:val="28"/>
        </w:rPr>
      </w:pPr>
      <w:r>
        <w:rPr>
          <w:rFonts w:hint="eastAsia" w:ascii="宋体" w:hAnsi="宋体"/>
          <w:sz w:val="28"/>
          <w:szCs w:val="28"/>
        </w:rPr>
        <w:t>减轻中小学生课业负担的有效路径研究</w:t>
      </w:r>
    </w:p>
    <w:p>
      <w:pPr>
        <w:spacing w:line="560" w:lineRule="exact"/>
        <w:ind w:firstLine="560" w:firstLineChars="200"/>
        <w:rPr>
          <w:sz w:val="28"/>
          <w:szCs w:val="28"/>
        </w:rPr>
      </w:pPr>
      <w:r>
        <w:rPr>
          <w:rFonts w:hint="eastAsia"/>
          <w:b/>
          <w:sz w:val="28"/>
          <w:szCs w:val="28"/>
        </w:rPr>
        <w:t>领域4：教育信息化、人工智能与未来教育研究</w:t>
      </w:r>
    </w:p>
    <w:p>
      <w:pPr>
        <w:pStyle w:val="4"/>
        <w:numPr>
          <w:ilvl w:val="0"/>
          <w:numId w:val="6"/>
        </w:numPr>
        <w:spacing w:line="560" w:lineRule="exact"/>
        <w:ind w:firstLineChars="0"/>
        <w:rPr>
          <w:sz w:val="28"/>
          <w:szCs w:val="28"/>
        </w:rPr>
      </w:pPr>
      <w:r>
        <w:rPr>
          <w:rFonts w:hint="eastAsia"/>
          <w:sz w:val="28"/>
          <w:szCs w:val="28"/>
        </w:rPr>
        <w:t>信息技术与教育教学的融合与创新研究</w:t>
      </w:r>
    </w:p>
    <w:p>
      <w:pPr>
        <w:pStyle w:val="4"/>
        <w:numPr>
          <w:ilvl w:val="0"/>
          <w:numId w:val="6"/>
        </w:numPr>
        <w:spacing w:line="560" w:lineRule="exact"/>
        <w:ind w:firstLineChars="0"/>
        <w:rPr>
          <w:sz w:val="28"/>
          <w:szCs w:val="28"/>
        </w:rPr>
      </w:pPr>
      <w:r>
        <w:rPr>
          <w:rFonts w:hint="eastAsia"/>
          <w:sz w:val="28"/>
          <w:szCs w:val="28"/>
        </w:rPr>
        <w:t>人工智能背景下的中小学（幼儿园）教育生态重构</w:t>
      </w:r>
    </w:p>
    <w:p>
      <w:pPr>
        <w:pStyle w:val="4"/>
        <w:numPr>
          <w:ilvl w:val="0"/>
          <w:numId w:val="6"/>
        </w:numPr>
        <w:spacing w:line="560" w:lineRule="exact"/>
        <w:ind w:firstLineChars="0"/>
        <w:rPr>
          <w:sz w:val="28"/>
          <w:szCs w:val="28"/>
        </w:rPr>
      </w:pPr>
      <w:r>
        <w:rPr>
          <w:rFonts w:hint="eastAsia"/>
          <w:sz w:val="28"/>
          <w:szCs w:val="28"/>
        </w:rPr>
        <w:t>未来学校研究</w:t>
      </w:r>
    </w:p>
    <w:p>
      <w:pPr>
        <w:pStyle w:val="4"/>
        <w:numPr>
          <w:ilvl w:val="0"/>
          <w:numId w:val="6"/>
        </w:numPr>
        <w:spacing w:line="560" w:lineRule="exact"/>
        <w:ind w:firstLineChars="0"/>
        <w:rPr>
          <w:sz w:val="28"/>
          <w:szCs w:val="28"/>
        </w:rPr>
      </w:pPr>
      <w:r>
        <w:rPr>
          <w:rFonts w:hint="eastAsia"/>
          <w:sz w:val="28"/>
          <w:szCs w:val="28"/>
        </w:rPr>
        <w:t>中小学（幼儿园）泛在学习空间构建研究</w:t>
      </w:r>
    </w:p>
    <w:p>
      <w:pPr>
        <w:spacing w:line="560" w:lineRule="exact"/>
        <w:ind w:left="560"/>
        <w:rPr>
          <w:b/>
          <w:sz w:val="28"/>
          <w:szCs w:val="28"/>
        </w:rPr>
      </w:pPr>
      <w:r>
        <w:rPr>
          <w:rFonts w:hint="eastAsia"/>
          <w:b/>
          <w:sz w:val="28"/>
          <w:szCs w:val="28"/>
        </w:rPr>
        <w:t>领域5：考试与评价研究</w:t>
      </w:r>
    </w:p>
    <w:p>
      <w:pPr>
        <w:pStyle w:val="4"/>
        <w:numPr>
          <w:ilvl w:val="0"/>
          <w:numId w:val="7"/>
        </w:numPr>
        <w:spacing w:line="560" w:lineRule="exact"/>
        <w:ind w:firstLineChars="0"/>
        <w:rPr>
          <w:sz w:val="28"/>
          <w:szCs w:val="28"/>
        </w:rPr>
      </w:pPr>
      <w:r>
        <w:rPr>
          <w:rFonts w:hint="eastAsia"/>
          <w:sz w:val="28"/>
          <w:szCs w:val="28"/>
        </w:rPr>
        <w:t>中小学校长（园长）、教师培训评价研究</w:t>
      </w:r>
    </w:p>
    <w:p>
      <w:pPr>
        <w:pStyle w:val="4"/>
        <w:numPr>
          <w:ilvl w:val="0"/>
          <w:numId w:val="7"/>
        </w:numPr>
        <w:spacing w:line="560" w:lineRule="exact"/>
        <w:ind w:firstLineChars="0"/>
        <w:rPr>
          <w:sz w:val="28"/>
          <w:szCs w:val="28"/>
        </w:rPr>
      </w:pPr>
      <w:r>
        <w:rPr>
          <w:rFonts w:hint="eastAsia"/>
          <w:sz w:val="28"/>
          <w:szCs w:val="28"/>
        </w:rPr>
        <w:t>基于学生关键能力的中小学生学业评价研究</w:t>
      </w:r>
    </w:p>
    <w:p>
      <w:pPr>
        <w:pStyle w:val="4"/>
        <w:numPr>
          <w:ilvl w:val="0"/>
          <w:numId w:val="7"/>
        </w:numPr>
        <w:spacing w:line="560" w:lineRule="exact"/>
        <w:ind w:firstLineChars="0"/>
        <w:rPr>
          <w:sz w:val="28"/>
          <w:szCs w:val="28"/>
        </w:rPr>
      </w:pPr>
      <w:r>
        <w:rPr>
          <w:sz w:val="28"/>
          <w:szCs w:val="28"/>
        </w:rPr>
        <w:t>中高考学科命题研究</w:t>
      </w:r>
    </w:p>
    <w:p>
      <w:pPr>
        <w:pStyle w:val="4"/>
        <w:numPr>
          <w:ilvl w:val="0"/>
          <w:numId w:val="7"/>
        </w:numPr>
        <w:spacing w:line="560" w:lineRule="exact"/>
        <w:ind w:firstLineChars="0"/>
        <w:rPr>
          <w:sz w:val="28"/>
          <w:szCs w:val="28"/>
        </w:rPr>
      </w:pPr>
      <w:r>
        <w:rPr>
          <w:rFonts w:hint="eastAsia"/>
          <w:sz w:val="28"/>
          <w:szCs w:val="28"/>
        </w:rPr>
        <w:t>大数据支持下的中小学生学业诊断研究</w:t>
      </w:r>
    </w:p>
    <w:p>
      <w:pPr>
        <w:spacing w:line="560" w:lineRule="exact"/>
        <w:ind w:firstLine="560" w:firstLineChars="200"/>
        <w:rPr>
          <w:b/>
          <w:sz w:val="28"/>
          <w:szCs w:val="28"/>
        </w:rPr>
      </w:pPr>
      <w:r>
        <w:rPr>
          <w:rFonts w:hint="eastAsia"/>
          <w:b/>
          <w:sz w:val="28"/>
          <w:szCs w:val="28"/>
        </w:rPr>
        <w:t>领域6：学校治理与改进研究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1. 中小学（幼儿园）治理结构研究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2. 中小学校长职级制的实践推进研究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3. 中小学开展传统文化教育的有效路径研究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4. 政府主导下学前教育发展体制机制完善与创新研究</w:t>
      </w:r>
    </w:p>
    <w:p>
      <w:pPr>
        <w:pStyle w:val="4"/>
        <w:tabs>
          <w:tab w:val="left" w:pos="420"/>
          <w:tab w:val="left" w:pos="6432"/>
        </w:tabs>
        <w:spacing w:line="560" w:lineRule="exact"/>
        <w:ind w:firstLineChars="0"/>
        <w:rPr>
          <w:rFonts w:ascii="宋体" w:hAnsi="宋体"/>
          <w:sz w:val="28"/>
          <w:szCs w:val="28"/>
        </w:rPr>
      </w:pPr>
      <w:r>
        <w:rPr>
          <w:rFonts w:hint="eastAsia" w:ascii="宋体" w:hAnsi="宋体"/>
          <w:sz w:val="28"/>
          <w:szCs w:val="28"/>
        </w:rPr>
        <w:t>5. 中小学党建工作与教师队伍发展研究</w:t>
      </w:r>
      <w:r>
        <w:rPr>
          <w:rFonts w:ascii="宋体" w:hAnsi="宋体"/>
          <w:sz w:val="28"/>
          <w:szCs w:val="28"/>
        </w:rPr>
        <w:tab/>
      </w:r>
    </w:p>
    <w:p>
      <w:pPr>
        <w:tabs>
          <w:tab w:val="left" w:pos="420"/>
        </w:tabs>
        <w:spacing w:line="560" w:lineRule="exact"/>
        <w:ind w:left="643"/>
        <w:rPr>
          <w:rFonts w:hint="eastAsia" w:ascii="仿宋" w:hAnsi="仿宋" w:eastAsia="仿宋"/>
          <w:b/>
          <w:color w:val="000000"/>
          <w:sz w:val="32"/>
          <w:szCs w:val="32"/>
        </w:rPr>
      </w:pPr>
      <w:r>
        <w:rPr>
          <w:rFonts w:hint="eastAsia" w:ascii="仿宋" w:hAnsi="仿宋" w:eastAsia="仿宋"/>
          <w:b/>
          <w:color w:val="000000"/>
          <w:sz w:val="32"/>
          <w:szCs w:val="32"/>
        </w:rPr>
        <w:t>可以在以上选题之外另行提出选题申报重点关注课题</w:t>
      </w:r>
      <w:bookmarkStart w:id="0" w:name="_GoBack"/>
      <w:bookmarkEnd w:id="0"/>
    </w:p>
    <w:p>
      <w:pPr>
        <w:tabs>
          <w:tab w:val="left" w:pos="420"/>
        </w:tabs>
        <w:spacing w:line="560" w:lineRule="exact"/>
        <w:ind w:left="643"/>
        <w:rPr>
          <w:rFonts w:ascii="黑体" w:hAnsi="黑体" w:eastAsia="黑体"/>
          <w:b/>
          <w:color w:val="000000"/>
          <w:sz w:val="32"/>
          <w:szCs w:val="32"/>
        </w:rPr>
      </w:pPr>
      <w:r>
        <w:rPr>
          <w:rFonts w:hint="eastAsia" w:ascii="黑体" w:hAnsi="黑体" w:eastAsia="黑体"/>
          <w:b/>
          <w:color w:val="000000"/>
          <w:sz w:val="32"/>
          <w:szCs w:val="32"/>
        </w:rPr>
        <w:t>三、一般课题</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1. 中小学党建工作的现状和改进研究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2. 中小学书记专业成长研究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3. 新时代中小学教师专业发展研究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4. 中小学教研共同体研究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4. 中小学德育资源的有效整合与利用研究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5. 中小学STEM/STEAM实践及其改进研究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6. 中小学综合实践活动课程的实施与评价研究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7. 教育新理论、新思想、新流派对基础教育实践影响的研究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8. 特殊学生群体的教育问题研究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9. 区域推进校本教研的行动研究</w:t>
      </w:r>
    </w:p>
    <w:p>
      <w:pPr>
        <w:pStyle w:val="4"/>
        <w:tabs>
          <w:tab w:val="left" w:pos="420"/>
        </w:tabs>
        <w:spacing w:line="560" w:lineRule="exact"/>
        <w:ind w:firstLineChars="0"/>
        <w:rPr>
          <w:rFonts w:ascii="宋体" w:hAnsi="宋体"/>
          <w:sz w:val="28"/>
          <w:szCs w:val="28"/>
        </w:rPr>
      </w:pPr>
      <w:r>
        <w:rPr>
          <w:rFonts w:hint="eastAsia" w:ascii="宋体" w:hAnsi="宋体"/>
          <w:sz w:val="28"/>
          <w:szCs w:val="28"/>
        </w:rPr>
        <w:t>10. 中小学生心理健康教育研究</w:t>
      </w:r>
    </w:p>
    <w:p>
      <w:pPr>
        <w:tabs>
          <w:tab w:val="left" w:pos="420"/>
        </w:tabs>
        <w:spacing w:line="560" w:lineRule="exact"/>
        <w:rPr>
          <w:rFonts w:ascii="仿宋" w:hAnsi="仿宋" w:eastAsia="仿宋"/>
          <w:b/>
          <w:color w:val="000000"/>
          <w:sz w:val="32"/>
          <w:szCs w:val="32"/>
        </w:rPr>
      </w:pPr>
      <w:r>
        <w:rPr>
          <w:rFonts w:hint="eastAsia" w:ascii="仿宋" w:hAnsi="仿宋" w:eastAsia="仿宋"/>
          <w:b/>
          <w:color w:val="000000"/>
          <w:sz w:val="32"/>
          <w:szCs w:val="32"/>
        </w:rPr>
        <w:tab/>
      </w:r>
      <w:r>
        <w:rPr>
          <w:rFonts w:hint="eastAsia" w:ascii="仿宋" w:hAnsi="仿宋" w:eastAsia="仿宋"/>
          <w:b/>
          <w:color w:val="000000"/>
          <w:sz w:val="32"/>
          <w:szCs w:val="32"/>
        </w:rPr>
        <w:t>可以在以上选题之外另行提出选题申报一般课题。</w:t>
      </w:r>
    </w:p>
    <w:p>
      <w:pPr>
        <w:tabs>
          <w:tab w:val="left" w:pos="423"/>
        </w:tabs>
        <w:spacing w:line="560" w:lineRule="exact"/>
      </w:pPr>
      <w:r>
        <w:rPr>
          <w:rFonts w:hint="eastAsia" w:ascii="仿宋" w:hAnsi="仿宋" w:eastAsia="仿宋"/>
          <w:b/>
          <w:color w:val="000000"/>
          <w:sz w:val="32"/>
          <w:szCs w:val="32"/>
        </w:rPr>
        <w:tab/>
      </w:r>
      <w:r>
        <w:rPr>
          <w:rFonts w:hint="eastAsia" w:ascii="仿宋" w:hAnsi="仿宋" w:eastAsia="仿宋"/>
          <w:b/>
          <w:color w:val="000000"/>
          <w:sz w:val="32"/>
          <w:szCs w:val="32"/>
        </w:rPr>
        <w:t>另外，各个职能部门可以结合自己的工作实践和发展方向自主选题申报重点关注和一般课题。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B10"/>
    <w:multiLevelType w:val="multilevel"/>
    <w:tmpl w:val="0EFB6B10"/>
    <w:lvl w:ilvl="0" w:tentative="0">
      <w:start w:val="1"/>
      <w:numFmt w:val="decimal"/>
      <w:lvlText w:val="%1."/>
      <w:lvlJc w:val="left"/>
      <w:pPr>
        <w:ind w:left="1051" w:hanging="408"/>
      </w:pPr>
      <w:rPr>
        <w:rFonts w:hint="default"/>
        <w:color w:val="00000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119838E8"/>
    <w:multiLevelType w:val="multilevel"/>
    <w:tmpl w:val="119838E8"/>
    <w:lvl w:ilvl="0" w:tentative="0">
      <w:start w:val="1"/>
      <w:numFmt w:val="decimal"/>
      <w:lvlText w:val="%1."/>
      <w:lvlJc w:val="left"/>
      <w:pPr>
        <w:ind w:left="920" w:hanging="360"/>
      </w:pPr>
      <w:rPr>
        <w:rFonts w:hint="default" w:ascii="Calibri" w:hAnsi="Calibri"/>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abstractNum w:abstractNumId="2">
    <w:nsid w:val="154D56C2"/>
    <w:multiLevelType w:val="multilevel"/>
    <w:tmpl w:val="154D56C2"/>
    <w:lvl w:ilvl="0" w:tentative="0">
      <w:start w:val="1"/>
      <w:numFmt w:val="japaneseCounting"/>
      <w:lvlText w:val="%1、"/>
      <w:lvlJc w:val="left"/>
      <w:pPr>
        <w:ind w:left="1363" w:hanging="720"/>
      </w:pPr>
      <w:rPr>
        <w:rFonts w:hint="default"/>
        <w:lang w:val="en-US"/>
      </w:rPr>
    </w:lvl>
    <w:lvl w:ilvl="1" w:tentative="0">
      <w:start w:val="1"/>
      <w:numFmt w:val="decimal"/>
      <w:lvlText w:val="%2."/>
      <w:lvlJc w:val="left"/>
      <w:pPr>
        <w:ind w:left="1471" w:hanging="408"/>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156158BC"/>
    <w:multiLevelType w:val="multilevel"/>
    <w:tmpl w:val="156158BC"/>
    <w:lvl w:ilvl="0" w:tentative="0">
      <w:start w:val="1"/>
      <w:numFmt w:val="decimal"/>
      <w:lvlText w:val="%1."/>
      <w:lvlJc w:val="left"/>
      <w:pPr>
        <w:ind w:left="1051" w:hanging="408"/>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4638B1"/>
    <w:multiLevelType w:val="multilevel"/>
    <w:tmpl w:val="3B4638B1"/>
    <w:lvl w:ilvl="0" w:tentative="0">
      <w:start w:val="1"/>
      <w:numFmt w:val="decimal"/>
      <w:lvlText w:val="%1."/>
      <w:lvlJc w:val="left"/>
      <w:pPr>
        <w:ind w:left="980" w:hanging="420"/>
      </w:pPr>
      <w:rPr>
        <w:rFonts w:hint="default" w:ascii="Calibri" w:hAnsi="Calibri"/>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ED94553"/>
    <w:multiLevelType w:val="multilevel"/>
    <w:tmpl w:val="3ED9455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1A60691"/>
    <w:multiLevelType w:val="multilevel"/>
    <w:tmpl w:val="51A6069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F2A3D"/>
    <w:rsid w:val="6C9F2A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2018-04-27T06:16:00Z</dcterms:created>
  <dc:creator>李静</dc:creator>
  <cp:lastModifiedBy>李静</cp:lastModifiedBy>
  <dcterms:modified xsi:type="dcterms:W3CDTF">2018-04-27T06:17:13Z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